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DBCEA" w14:textId="72A2114E" w:rsidR="00A06390" w:rsidRPr="00560156" w:rsidRDefault="00BB3193" w:rsidP="00560156">
      <w:pPr>
        <w:pStyle w:val="Heading1"/>
        <w:jc w:val="center"/>
        <w:rPr>
          <w:b/>
          <w:bCs/>
        </w:rPr>
      </w:pPr>
      <w:bookmarkStart w:id="0" w:name="_Hlk26443289"/>
      <w:r>
        <w:rPr>
          <w:b/>
          <w:bCs/>
        </w:rPr>
        <w:t xml:space="preserve">CONTRIBUTION À L’ÉVALUATION TECHNIQUE ET FINANCIÈRE DE L’APPEL D’OFFRES </w:t>
      </w:r>
      <w:bookmarkEnd w:id="0"/>
      <w:r>
        <w:rPr>
          <w:b/>
          <w:bCs/>
        </w:rPr>
        <w:t>« SERVICES D’IMPRESSION RESPECTUEUX DE L’ENVIRONNEMENT ». </w:t>
      </w:r>
    </w:p>
    <w:p w14:paraId="4772EC7C" w14:textId="1EE72904" w:rsidR="0076384E" w:rsidRDefault="0076384E">
      <w:pPr>
        <w:rPr>
          <w:rFonts w:cstheme="minorHAnsi"/>
          <w:b/>
          <w:bCs/>
          <w:lang w:val="en-GB"/>
        </w:rPr>
      </w:pPr>
    </w:p>
    <w:p w14:paraId="2F2371F9" w14:textId="7C058D4A" w:rsidR="000D1D29" w:rsidRPr="00BB3193" w:rsidRDefault="000D1D29" w:rsidP="00DF106B">
      <w:pPr>
        <w:pStyle w:val="Heading1"/>
        <w:numPr>
          <w:ilvl w:val="0"/>
          <w:numId w:val="1"/>
        </w:numPr>
      </w:pPr>
      <w:r>
        <w:t>Critères et démonstration de la capacité technique et professionnelle</w:t>
      </w:r>
    </w:p>
    <w:p w14:paraId="702BB6DF" w14:textId="77777777" w:rsidR="00FC0DA7" w:rsidRPr="00FC0DA7" w:rsidRDefault="00FC0DA7" w:rsidP="00FC0DA7">
      <w:pPr>
        <w:jc w:val="both"/>
        <w:rPr>
          <w:rFonts w:cstheme="minorHAnsi"/>
        </w:rPr>
      </w:pPr>
      <w:r>
        <w:t>Les soumissionnaires doivent démontrer leur degré de capacité technique et professionnelle à exécuter les tâches demandées en fournissant des informations sur les critères décrits ci-dessous. Si plusieurs prestataires de services/sous-traitants sont impliqués dans l’appel d’offres, chacun d’entre eux doit avoir la capacité professionnelle et technique d’exécuter les tâches qui lui sont confiées, et être en mesure de le démontrer.</w:t>
      </w:r>
    </w:p>
    <w:p w14:paraId="00C8D1A1" w14:textId="77777777" w:rsidR="00FC0DA7" w:rsidRPr="00FC0DA7" w:rsidRDefault="00FC0DA7" w:rsidP="00FC0DA7">
      <w:pPr>
        <w:pStyle w:val="Heading2"/>
        <w:jc w:val="both"/>
        <w:rPr>
          <w:rFonts w:asciiTheme="minorHAnsi" w:hAnsiTheme="minorHAnsi" w:cstheme="minorHAnsi"/>
        </w:rPr>
      </w:pPr>
      <w:r>
        <w:rPr>
          <w:rFonts w:asciiTheme="minorHAnsi" w:hAnsiTheme="minorHAnsi"/>
        </w:rPr>
        <w:t>Critère de sélection 1 : Expertise et expérience antérieures dans l’exécution des services demandés</w:t>
      </w:r>
    </w:p>
    <w:p w14:paraId="3B84D06F" w14:textId="77777777" w:rsidR="00FC0DA7" w:rsidRPr="00FC0DA7" w:rsidRDefault="00FC0DA7" w:rsidP="00FC0DA7">
      <w:pPr>
        <w:jc w:val="both"/>
        <w:rPr>
          <w:rFonts w:cstheme="minorHAnsi"/>
        </w:rPr>
      </w:pPr>
      <w:r>
        <w:t>Les soumissionnaires doivent fournir les documents suivants :</w:t>
      </w:r>
    </w:p>
    <w:p w14:paraId="4C88BA28" w14:textId="00357700" w:rsidR="00FC0DA7" w:rsidRPr="00FC0DA7" w:rsidRDefault="00FC0DA7" w:rsidP="00FC0DA7">
      <w:pPr>
        <w:pStyle w:val="ListParagraph"/>
        <w:numPr>
          <w:ilvl w:val="0"/>
          <w:numId w:val="2"/>
        </w:numPr>
        <w:jc w:val="both"/>
        <w:rPr>
          <w:rFonts w:cstheme="minorHAnsi"/>
        </w:rPr>
      </w:pPr>
      <w:r>
        <w:t>Liste des principaux clients et services fournis au cours des trois dernières années indiquant la valeur, la date et le destinataire des services/produits.</w:t>
      </w:r>
    </w:p>
    <w:p w14:paraId="0D140027" w14:textId="5A59391B" w:rsidR="00FC0DA7" w:rsidRPr="00FC0DA7" w:rsidRDefault="00FC0DA7" w:rsidP="00FC0DA7">
      <w:pPr>
        <w:pStyle w:val="ListParagraph"/>
        <w:numPr>
          <w:ilvl w:val="0"/>
          <w:numId w:val="2"/>
        </w:numPr>
        <w:jc w:val="both"/>
        <w:rPr>
          <w:rFonts w:cstheme="minorHAnsi"/>
        </w:rPr>
      </w:pPr>
      <w:r>
        <w:t>CV (curriculum vitae) du personnel désigné pour effectuer le travail.</w:t>
      </w:r>
    </w:p>
    <w:p w14:paraId="384F6099" w14:textId="15A4734C" w:rsidR="00FC0DA7" w:rsidRPr="00FC0DA7" w:rsidRDefault="00FC0DA7" w:rsidP="00FC0DA7">
      <w:pPr>
        <w:pStyle w:val="ListParagraph"/>
        <w:numPr>
          <w:ilvl w:val="0"/>
          <w:numId w:val="2"/>
        </w:numPr>
        <w:jc w:val="both"/>
        <w:rPr>
          <w:rFonts w:cstheme="minorHAnsi"/>
        </w:rPr>
      </w:pPr>
      <w:r>
        <w:t>Exemples de travaux réalisés au cours des trois dernières années.</w:t>
      </w:r>
    </w:p>
    <w:p w14:paraId="38489B5A" w14:textId="60E7E8CC" w:rsidR="00FC0DA7" w:rsidRPr="00FC0DA7" w:rsidRDefault="00FC0DA7" w:rsidP="00FC0DA7">
      <w:pPr>
        <w:pStyle w:val="ListParagraph"/>
        <w:numPr>
          <w:ilvl w:val="1"/>
          <w:numId w:val="2"/>
        </w:numPr>
        <w:jc w:val="both"/>
        <w:rPr>
          <w:rFonts w:cstheme="minorHAnsi"/>
        </w:rPr>
      </w:pPr>
      <w:r>
        <w:t>Si une partie de ces travaux a été réalisée par des sous-traitants, les soumissionnaires doivent indiquer clairement leur rôle et leur contribution.</w:t>
      </w:r>
    </w:p>
    <w:p w14:paraId="631BE93F" w14:textId="4BF88F06" w:rsidR="00FC0DA7" w:rsidRPr="00FC0DA7" w:rsidRDefault="00FC0DA7" w:rsidP="00FC0DA7">
      <w:pPr>
        <w:pStyle w:val="ListParagraph"/>
        <w:numPr>
          <w:ilvl w:val="1"/>
          <w:numId w:val="2"/>
        </w:numPr>
        <w:jc w:val="both"/>
        <w:rPr>
          <w:rFonts w:cstheme="minorHAnsi"/>
        </w:rPr>
      </w:pPr>
      <w:r>
        <w:t>Les offres émanant de consortiums d’entreprises ou de groupes de prestataires de services doivent préciser le titre, le rôle et l’expérience de chacun des membres du consortium. Dans ce cas, l’un des soumissionnaires doit être désigné comme « fournisseur principal ».</w:t>
      </w:r>
    </w:p>
    <w:p w14:paraId="09458988" w14:textId="77777777" w:rsidR="00FC0DA7" w:rsidRPr="00FC0DA7" w:rsidRDefault="00FC0DA7" w:rsidP="00FC0DA7">
      <w:pPr>
        <w:pStyle w:val="Heading2"/>
        <w:jc w:val="both"/>
        <w:rPr>
          <w:rFonts w:asciiTheme="minorHAnsi" w:hAnsiTheme="minorHAnsi" w:cstheme="minorHAnsi"/>
        </w:rPr>
      </w:pPr>
      <w:r>
        <w:rPr>
          <w:rFonts w:asciiTheme="minorHAnsi" w:hAnsiTheme="minorHAnsi"/>
        </w:rPr>
        <w:t>Critère de sélection 2 : Compétences techniques nécessaires à la prestation des services demandés</w:t>
      </w:r>
    </w:p>
    <w:p w14:paraId="352A764A" w14:textId="77777777" w:rsidR="00FC0DA7" w:rsidRPr="00FC0DA7" w:rsidRDefault="00FC0DA7" w:rsidP="00FC0DA7">
      <w:pPr>
        <w:jc w:val="both"/>
        <w:rPr>
          <w:rFonts w:cstheme="minorHAnsi"/>
        </w:rPr>
      </w:pPr>
      <w:r>
        <w:t>Les soumissionnaires doivent fournir les documents suivants :</w:t>
      </w:r>
    </w:p>
    <w:p w14:paraId="21B023BA" w14:textId="7ECA5D59" w:rsidR="00FC0DA7" w:rsidRPr="00FC0DA7" w:rsidRDefault="00FC0DA7" w:rsidP="00FC0DA7">
      <w:pPr>
        <w:pStyle w:val="ListParagraph"/>
        <w:numPr>
          <w:ilvl w:val="0"/>
          <w:numId w:val="2"/>
        </w:numPr>
        <w:jc w:val="both"/>
        <w:rPr>
          <w:rFonts w:cstheme="minorHAnsi"/>
        </w:rPr>
      </w:pPr>
      <w:r>
        <w:t>Liste des équipements techniques et du matériel disponibles pour répondre aux besoins existants.</w:t>
      </w:r>
    </w:p>
    <w:p w14:paraId="1AC5E8C1" w14:textId="304AFBD0" w:rsidR="00FC0DA7" w:rsidRPr="00FC0DA7" w:rsidRDefault="00FC0DA7" w:rsidP="00FC0DA7">
      <w:pPr>
        <w:pStyle w:val="ListParagraph"/>
        <w:numPr>
          <w:ilvl w:val="0"/>
          <w:numId w:val="2"/>
        </w:numPr>
        <w:jc w:val="both"/>
        <w:rPr>
          <w:rFonts w:cstheme="minorHAnsi"/>
        </w:rPr>
      </w:pPr>
      <w:r>
        <w:t>Si la sous-traitance de certains services/produits est envisagée :</w:t>
      </w:r>
    </w:p>
    <w:p w14:paraId="644D3212" w14:textId="0EFA7A1A" w:rsidR="00FC0DA7" w:rsidRPr="00FC0DA7" w:rsidRDefault="00FC0DA7" w:rsidP="00FC0DA7">
      <w:pPr>
        <w:pStyle w:val="ListParagraph"/>
        <w:numPr>
          <w:ilvl w:val="1"/>
          <w:numId w:val="2"/>
        </w:numPr>
        <w:jc w:val="both"/>
        <w:rPr>
          <w:rFonts w:cstheme="minorHAnsi"/>
        </w:rPr>
      </w:pPr>
      <w:r>
        <w:t>Description des services à fournir directement par le soumissionnaire et de ceux qui peuvent être sous-traités.</w:t>
      </w:r>
    </w:p>
    <w:p w14:paraId="5033FDAE" w14:textId="1AB15AD9" w:rsidR="00FC0DA7" w:rsidRPr="00FC0DA7" w:rsidRDefault="00FC0DA7" w:rsidP="00FC0DA7">
      <w:pPr>
        <w:pStyle w:val="ListParagraph"/>
        <w:numPr>
          <w:ilvl w:val="1"/>
          <w:numId w:val="2"/>
        </w:numPr>
        <w:jc w:val="both"/>
        <w:rPr>
          <w:rFonts w:cstheme="minorHAnsi"/>
        </w:rPr>
      </w:pPr>
      <w:r>
        <w:t>Description des mesures visant à assurer le contrôle de la qualité des services/produits fournis par le sous-traitant.</w:t>
      </w:r>
    </w:p>
    <w:p w14:paraId="28A856A8" w14:textId="17C5F0B0" w:rsidR="00FC0DA7" w:rsidRDefault="00FC0DA7" w:rsidP="00FC0DA7">
      <w:pPr>
        <w:pStyle w:val="ListParagraph"/>
        <w:numPr>
          <w:ilvl w:val="1"/>
          <w:numId w:val="2"/>
        </w:numPr>
        <w:jc w:val="both"/>
        <w:rPr>
          <w:rFonts w:cstheme="minorHAnsi"/>
        </w:rPr>
      </w:pPr>
      <w:r>
        <w:t>Description des sous-traitants déjà sélectionnés par le soumissionnaire qui peuvent être utilisés pour certains types de travaux.</w:t>
      </w:r>
    </w:p>
    <w:p w14:paraId="12290007" w14:textId="1FA812E3" w:rsidR="00C43CA0" w:rsidRPr="00FC0DA7" w:rsidRDefault="00C43CA0" w:rsidP="00C43CA0">
      <w:pPr>
        <w:pStyle w:val="Heading2"/>
        <w:jc w:val="both"/>
        <w:rPr>
          <w:rFonts w:asciiTheme="minorHAnsi" w:hAnsiTheme="minorHAnsi" w:cstheme="minorHAnsi"/>
        </w:rPr>
      </w:pPr>
      <w:r>
        <w:rPr>
          <w:rFonts w:asciiTheme="minorHAnsi" w:hAnsiTheme="minorHAnsi"/>
        </w:rPr>
        <w:lastRenderedPageBreak/>
        <w:t xml:space="preserve">Critère de sélection 3 : </w:t>
      </w:r>
      <w:bookmarkStart w:id="1" w:name="_Hlk26443233"/>
      <w:r>
        <w:rPr>
          <w:rFonts w:asciiTheme="minorHAnsi" w:hAnsiTheme="minorHAnsi"/>
        </w:rPr>
        <w:t>Respect de l’environnement</w:t>
      </w:r>
      <w:bookmarkEnd w:id="1"/>
    </w:p>
    <w:p w14:paraId="0E921A62" w14:textId="4E7EE04F" w:rsidR="00C43CA0" w:rsidRPr="00C43CA0" w:rsidRDefault="00C43CA0" w:rsidP="00C43CA0">
      <w:pPr>
        <w:pStyle w:val="ListParagraph"/>
        <w:numPr>
          <w:ilvl w:val="0"/>
          <w:numId w:val="2"/>
        </w:numPr>
        <w:jc w:val="both"/>
      </w:pPr>
      <w:r>
        <w:t>Une description de la façon dont le soumissionnaire s’assure que les services d’impression respectueux de l’environnement prennent en compte :</w:t>
      </w:r>
    </w:p>
    <w:p w14:paraId="160AE171" w14:textId="77777777" w:rsidR="00C43CA0" w:rsidRPr="00C43CA0" w:rsidRDefault="00C43CA0" w:rsidP="00C43CA0">
      <w:pPr>
        <w:pStyle w:val="ListParagraph"/>
        <w:numPr>
          <w:ilvl w:val="1"/>
          <w:numId w:val="2"/>
        </w:numPr>
        <w:jc w:val="both"/>
      </w:pPr>
      <w:r>
        <w:t>l’efficacité énergétique du procédé d’impression</w:t>
      </w:r>
    </w:p>
    <w:p w14:paraId="3A777C99" w14:textId="77777777" w:rsidR="00C43CA0" w:rsidRPr="00C43CA0" w:rsidRDefault="00C43CA0" w:rsidP="00C43CA0">
      <w:pPr>
        <w:pStyle w:val="ListParagraph"/>
        <w:numPr>
          <w:ilvl w:val="1"/>
          <w:numId w:val="2"/>
        </w:numPr>
        <w:jc w:val="both"/>
      </w:pPr>
      <w:r>
        <w:t xml:space="preserve">la réduction des déchets lors du processus d’impression </w:t>
      </w:r>
    </w:p>
    <w:p w14:paraId="14F3DD8A" w14:textId="77777777" w:rsidR="00C43CA0" w:rsidRPr="00C43CA0" w:rsidRDefault="00C43CA0" w:rsidP="00C43CA0">
      <w:pPr>
        <w:pStyle w:val="ListParagraph"/>
        <w:numPr>
          <w:ilvl w:val="1"/>
          <w:numId w:val="2"/>
        </w:numPr>
        <w:jc w:val="both"/>
      </w:pPr>
      <w:r>
        <w:t>l'utilisation de papier respectueux de l'environnement</w:t>
      </w:r>
    </w:p>
    <w:p w14:paraId="6A86B672" w14:textId="77777777" w:rsidR="00C43CA0" w:rsidRPr="00C43CA0" w:rsidRDefault="00C43CA0" w:rsidP="00C43CA0">
      <w:pPr>
        <w:pStyle w:val="ListParagraph"/>
        <w:numPr>
          <w:ilvl w:val="1"/>
          <w:numId w:val="2"/>
        </w:numPr>
        <w:jc w:val="both"/>
      </w:pPr>
      <w:r>
        <w:t>émissions dues aux transports liés à la livraison des produits finis</w:t>
      </w:r>
    </w:p>
    <w:p w14:paraId="316BC5DA" w14:textId="77777777" w:rsidR="00C43CA0" w:rsidRPr="00FC0DA7" w:rsidRDefault="00C43CA0" w:rsidP="00C43CA0">
      <w:pPr>
        <w:pStyle w:val="ListParagraph"/>
        <w:ind w:left="1080"/>
        <w:jc w:val="both"/>
        <w:rPr>
          <w:rFonts w:cstheme="minorHAnsi"/>
        </w:rPr>
      </w:pPr>
    </w:p>
    <w:p w14:paraId="63474F96" w14:textId="6E668173" w:rsidR="000D1D29" w:rsidRPr="00BB3193" w:rsidRDefault="000D1D29" w:rsidP="00DF106B">
      <w:pPr>
        <w:pStyle w:val="Heading1"/>
        <w:numPr>
          <w:ilvl w:val="0"/>
          <w:numId w:val="1"/>
        </w:numPr>
        <w:jc w:val="both"/>
        <w:rPr>
          <w:rFonts w:asciiTheme="minorHAnsi" w:hAnsiTheme="minorHAnsi" w:cstheme="minorHAnsi"/>
        </w:rPr>
      </w:pPr>
      <w:r>
        <w:rPr>
          <w:rFonts w:asciiTheme="minorHAnsi" w:hAnsiTheme="minorHAnsi"/>
        </w:rPr>
        <w:t>CRITÈRES</w:t>
      </w:r>
    </w:p>
    <w:p w14:paraId="41C515F1" w14:textId="30221092" w:rsidR="000D1D29" w:rsidRPr="00BB3193" w:rsidRDefault="000D1D29" w:rsidP="00BB3193">
      <w:pPr>
        <w:pStyle w:val="Heading2"/>
        <w:jc w:val="both"/>
        <w:rPr>
          <w:rFonts w:asciiTheme="minorHAnsi" w:hAnsiTheme="minorHAnsi" w:cstheme="minorHAnsi"/>
        </w:rPr>
      </w:pPr>
      <w:r>
        <w:rPr>
          <w:rFonts w:asciiTheme="minorHAnsi" w:hAnsiTheme="minorHAnsi"/>
        </w:rPr>
        <w:t>Qualité de l’offre</w:t>
      </w:r>
    </w:p>
    <w:p w14:paraId="10FEB84B" w14:textId="77777777" w:rsidR="000D1D29" w:rsidRPr="00BB3193" w:rsidRDefault="000D1D29" w:rsidP="00BB3193">
      <w:pPr>
        <w:jc w:val="both"/>
        <w:rPr>
          <w:rFonts w:cstheme="minorHAnsi"/>
        </w:rPr>
      </w:pPr>
      <w:r>
        <w:t>Une fois que le soumissionnaire aura démontré sa capacité à exécuter le Contrat sur la base des critères de sélection, l’offre sera évaluée sur la base des critères d’attribution.</w:t>
      </w:r>
    </w:p>
    <w:tbl>
      <w:tblPr>
        <w:tblStyle w:val="TableGrid"/>
        <w:tblW w:w="0" w:type="auto"/>
        <w:tblLook w:val="04A0" w:firstRow="1" w:lastRow="0" w:firstColumn="1" w:lastColumn="0" w:noHBand="0" w:noVBand="1"/>
      </w:tblPr>
      <w:tblGrid>
        <w:gridCol w:w="504"/>
        <w:gridCol w:w="2311"/>
        <w:gridCol w:w="5054"/>
        <w:gridCol w:w="1373"/>
      </w:tblGrid>
      <w:tr w:rsidR="000D1D29" w:rsidRPr="00BB3193" w14:paraId="4E100BD9" w14:textId="77777777" w:rsidTr="00FC0DA7">
        <w:tc>
          <w:tcPr>
            <w:tcW w:w="0" w:type="auto"/>
          </w:tcPr>
          <w:p w14:paraId="5C49BC97" w14:textId="77777777" w:rsidR="000D1D29" w:rsidRPr="00FC0DA7" w:rsidRDefault="000D1D29" w:rsidP="00FC0DA7">
            <w:pPr>
              <w:pStyle w:val="NoSpacing"/>
              <w:contextualSpacing/>
              <w:jc w:val="both"/>
              <w:rPr>
                <w:rFonts w:cstheme="minorHAnsi"/>
                <w:b/>
                <w:bCs/>
              </w:rPr>
            </w:pPr>
          </w:p>
          <w:p w14:paraId="30422C83" w14:textId="13D4D4A2" w:rsidR="000D1D29" w:rsidRPr="00FC0DA7" w:rsidRDefault="000D1D29" w:rsidP="00FC0DA7">
            <w:pPr>
              <w:pStyle w:val="NoSpacing"/>
              <w:contextualSpacing/>
              <w:jc w:val="both"/>
              <w:rPr>
                <w:rFonts w:cstheme="minorHAnsi"/>
                <w:b/>
                <w:bCs/>
              </w:rPr>
            </w:pPr>
            <w:r>
              <w:rPr>
                <w:b/>
                <w:bCs/>
                <w:sz w:val="24"/>
              </w:rPr>
              <w:t>No</w:t>
            </w:r>
          </w:p>
        </w:tc>
        <w:tc>
          <w:tcPr>
            <w:tcW w:w="0" w:type="auto"/>
            <w:gridSpan w:val="2"/>
          </w:tcPr>
          <w:p w14:paraId="625738A4" w14:textId="77777777" w:rsidR="000D1D29" w:rsidRPr="00FC0DA7" w:rsidRDefault="000D1D29" w:rsidP="00FC0DA7">
            <w:pPr>
              <w:pStyle w:val="NoSpacing"/>
              <w:contextualSpacing/>
              <w:jc w:val="both"/>
              <w:rPr>
                <w:rFonts w:cstheme="minorHAnsi"/>
                <w:b/>
                <w:bCs/>
              </w:rPr>
            </w:pPr>
          </w:p>
          <w:p w14:paraId="5AE46566" w14:textId="4724CE55" w:rsidR="000D1D29" w:rsidRPr="00FC0DA7" w:rsidRDefault="000D1D29" w:rsidP="00FC0DA7">
            <w:pPr>
              <w:pStyle w:val="NoSpacing"/>
              <w:contextualSpacing/>
              <w:jc w:val="both"/>
              <w:rPr>
                <w:rFonts w:cstheme="minorHAnsi"/>
                <w:b/>
                <w:bCs/>
              </w:rPr>
            </w:pPr>
            <w:r>
              <w:rPr>
                <w:b/>
                <w:bCs/>
                <w:sz w:val="24"/>
              </w:rPr>
              <w:t>Critères d’attribution qualitatifs</w:t>
            </w:r>
          </w:p>
        </w:tc>
        <w:tc>
          <w:tcPr>
            <w:tcW w:w="0" w:type="auto"/>
          </w:tcPr>
          <w:p w14:paraId="4AC6C4A1" w14:textId="77777777" w:rsidR="000D1D29" w:rsidRPr="00FC0DA7" w:rsidRDefault="000D1D29" w:rsidP="00FC0DA7">
            <w:pPr>
              <w:pStyle w:val="NoSpacing"/>
              <w:contextualSpacing/>
              <w:jc w:val="both"/>
              <w:rPr>
                <w:rFonts w:cstheme="minorHAnsi"/>
                <w:b/>
                <w:bCs/>
              </w:rPr>
            </w:pPr>
            <w:r>
              <w:rPr>
                <w:b/>
                <w:bCs/>
              </w:rPr>
              <w:t>Pondération</w:t>
            </w:r>
          </w:p>
          <w:p w14:paraId="0712DF96" w14:textId="46722B2E" w:rsidR="000D1D29" w:rsidRPr="00FC0DA7" w:rsidRDefault="000D1D29" w:rsidP="00FC0DA7">
            <w:pPr>
              <w:pStyle w:val="NoSpacing"/>
              <w:contextualSpacing/>
              <w:jc w:val="both"/>
              <w:rPr>
                <w:rFonts w:cstheme="minorHAnsi"/>
                <w:b/>
                <w:bCs/>
              </w:rPr>
            </w:pPr>
            <w:r>
              <w:rPr>
                <w:b/>
                <w:bCs/>
              </w:rPr>
              <w:t>(points max.)</w:t>
            </w:r>
          </w:p>
        </w:tc>
      </w:tr>
      <w:tr w:rsidR="00FC0DA7" w:rsidRPr="00BB3193" w14:paraId="41DE3079" w14:textId="77777777" w:rsidTr="00AC6AAF">
        <w:trPr>
          <w:trHeight w:val="898"/>
        </w:trPr>
        <w:tc>
          <w:tcPr>
            <w:tcW w:w="0" w:type="auto"/>
          </w:tcPr>
          <w:p w14:paraId="0DD0839F" w14:textId="6131F7A7" w:rsidR="00FC0DA7" w:rsidRPr="00FC0DA7" w:rsidRDefault="00FC0DA7" w:rsidP="00FC0DA7">
            <w:pPr>
              <w:pStyle w:val="NoSpacing"/>
              <w:contextualSpacing/>
              <w:jc w:val="both"/>
              <w:rPr>
                <w:rFonts w:cstheme="minorHAnsi"/>
                <w:b/>
                <w:bCs/>
              </w:rPr>
            </w:pPr>
            <w:r>
              <w:rPr>
                <w:b/>
                <w:bCs/>
              </w:rPr>
              <w:t>1.</w:t>
            </w:r>
          </w:p>
        </w:tc>
        <w:tc>
          <w:tcPr>
            <w:tcW w:w="0" w:type="auto"/>
          </w:tcPr>
          <w:p w14:paraId="135626C8" w14:textId="274BF88D" w:rsidR="00FC0DA7" w:rsidRPr="00FC0DA7" w:rsidRDefault="00FC0DA7" w:rsidP="00AC6AAF">
            <w:r>
              <w:t>Clarté et concision de l’offre</w:t>
            </w:r>
          </w:p>
        </w:tc>
        <w:tc>
          <w:tcPr>
            <w:tcW w:w="0" w:type="auto"/>
          </w:tcPr>
          <w:p w14:paraId="6B1A8D16" w14:textId="300A3D69" w:rsidR="00FC0DA7" w:rsidRPr="00FC0DA7" w:rsidRDefault="00FC0DA7" w:rsidP="00AC6AAF">
            <w:r>
              <w:t>La présentation et le contenu de l’appel d’offres doivent être clairs, précis et faciles à comprendre, en évitant les détails et les répétitions inutiles.</w:t>
            </w:r>
          </w:p>
        </w:tc>
        <w:tc>
          <w:tcPr>
            <w:tcW w:w="0" w:type="auto"/>
          </w:tcPr>
          <w:p w14:paraId="64259892" w14:textId="77777777" w:rsidR="00FC0DA7" w:rsidRPr="00BB3193" w:rsidRDefault="00FC0DA7" w:rsidP="00AC6AAF">
            <w:pPr>
              <w:rPr>
                <w:sz w:val="24"/>
              </w:rPr>
            </w:pPr>
          </w:p>
          <w:p w14:paraId="115B1845" w14:textId="77777777" w:rsidR="00FC0DA7" w:rsidRPr="00BB3193" w:rsidRDefault="00FC0DA7" w:rsidP="00AC6AAF">
            <w:pPr>
              <w:rPr>
                <w:sz w:val="24"/>
              </w:rPr>
            </w:pPr>
          </w:p>
          <w:p w14:paraId="29ACC3FA" w14:textId="77777777" w:rsidR="00FC0DA7" w:rsidRPr="00BB3193" w:rsidRDefault="00FC0DA7" w:rsidP="00AC6AAF">
            <w:pPr>
              <w:rPr>
                <w:sz w:val="24"/>
              </w:rPr>
            </w:pPr>
          </w:p>
          <w:p w14:paraId="63E7172C" w14:textId="77777777" w:rsidR="00FC0DA7" w:rsidRPr="00BB3193" w:rsidRDefault="00FC0DA7" w:rsidP="00AC6AAF">
            <w:pPr>
              <w:rPr>
                <w:sz w:val="30"/>
              </w:rPr>
            </w:pPr>
          </w:p>
          <w:p w14:paraId="74A37B4D" w14:textId="56BA0C10" w:rsidR="00FC0DA7" w:rsidRPr="00BB3193" w:rsidRDefault="00C43CA0" w:rsidP="00AC6AAF">
            <w:r>
              <w:t>10/100</w:t>
            </w:r>
          </w:p>
        </w:tc>
      </w:tr>
      <w:tr w:rsidR="00FC0DA7" w:rsidRPr="00BB3193" w14:paraId="16018C4A" w14:textId="77777777" w:rsidTr="00AC6AAF">
        <w:trPr>
          <w:trHeight w:val="782"/>
        </w:trPr>
        <w:tc>
          <w:tcPr>
            <w:tcW w:w="0" w:type="auto"/>
          </w:tcPr>
          <w:p w14:paraId="21905183" w14:textId="78A8519A" w:rsidR="00FC0DA7" w:rsidRPr="00FC0DA7" w:rsidRDefault="00FC0DA7" w:rsidP="00FC0DA7">
            <w:pPr>
              <w:pStyle w:val="NoSpacing"/>
              <w:contextualSpacing/>
              <w:jc w:val="both"/>
              <w:rPr>
                <w:rFonts w:cstheme="minorHAnsi"/>
                <w:b/>
                <w:bCs/>
              </w:rPr>
            </w:pPr>
            <w:r>
              <w:rPr>
                <w:b/>
                <w:bCs/>
              </w:rPr>
              <w:t>2.</w:t>
            </w:r>
          </w:p>
        </w:tc>
        <w:tc>
          <w:tcPr>
            <w:tcW w:w="0" w:type="auto"/>
          </w:tcPr>
          <w:p w14:paraId="763B4A13" w14:textId="77777777" w:rsidR="00FC0DA7" w:rsidRPr="00FC0DA7" w:rsidRDefault="00FC0DA7" w:rsidP="00AC6AAF">
            <w:r>
              <w:t>Qualité des échantillons</w:t>
            </w:r>
          </w:p>
          <w:p w14:paraId="3893D493" w14:textId="5B95BD93" w:rsidR="00FC0DA7" w:rsidRPr="00FC0DA7" w:rsidRDefault="00FC0DA7" w:rsidP="00AC6AAF">
            <w:r>
              <w:t>livrés</w:t>
            </w:r>
          </w:p>
        </w:tc>
        <w:tc>
          <w:tcPr>
            <w:tcW w:w="0" w:type="auto"/>
          </w:tcPr>
          <w:p w14:paraId="5B456E1F" w14:textId="77777777" w:rsidR="00FC0DA7" w:rsidRPr="00FC0DA7" w:rsidRDefault="00FC0DA7" w:rsidP="00AC6AAF">
            <w:r>
              <w:t>i) Qualité et précision de la reproduction</w:t>
            </w:r>
          </w:p>
          <w:p w14:paraId="119E8A75" w14:textId="77777777" w:rsidR="00FC0DA7" w:rsidRPr="00FC0DA7" w:rsidRDefault="00FC0DA7" w:rsidP="00AC6AAF">
            <w:r>
              <w:t>ii) Qualité de l’assemblage</w:t>
            </w:r>
          </w:p>
          <w:p w14:paraId="1A4ED7E8" w14:textId="0A327343" w:rsidR="00FC0DA7" w:rsidRPr="00FC0DA7" w:rsidRDefault="00FC0DA7" w:rsidP="00AC6AAF">
            <w:r>
              <w:t>iii) Qualité de l’agrafage/ de la reliure</w:t>
            </w:r>
          </w:p>
        </w:tc>
        <w:tc>
          <w:tcPr>
            <w:tcW w:w="0" w:type="auto"/>
          </w:tcPr>
          <w:p w14:paraId="0422DD2E" w14:textId="77777777" w:rsidR="00FC0DA7" w:rsidRPr="00BB3193" w:rsidRDefault="00FC0DA7" w:rsidP="00AC6AAF">
            <w:pPr>
              <w:rPr>
                <w:sz w:val="24"/>
              </w:rPr>
            </w:pPr>
          </w:p>
          <w:p w14:paraId="488BF32B" w14:textId="77777777" w:rsidR="00FC0DA7" w:rsidRPr="00BB3193" w:rsidRDefault="00FC0DA7" w:rsidP="00AC6AAF">
            <w:pPr>
              <w:rPr>
                <w:sz w:val="24"/>
              </w:rPr>
            </w:pPr>
          </w:p>
          <w:p w14:paraId="3BFCA112" w14:textId="77777777" w:rsidR="00FC0DA7" w:rsidRPr="00BB3193" w:rsidRDefault="00FC0DA7" w:rsidP="00AC6AAF">
            <w:pPr>
              <w:rPr>
                <w:sz w:val="24"/>
              </w:rPr>
            </w:pPr>
          </w:p>
          <w:p w14:paraId="7AF15233" w14:textId="77777777" w:rsidR="00FC0DA7" w:rsidRPr="00BB3193" w:rsidRDefault="00FC0DA7" w:rsidP="00AC6AAF">
            <w:pPr>
              <w:rPr>
                <w:sz w:val="24"/>
              </w:rPr>
            </w:pPr>
          </w:p>
          <w:p w14:paraId="16EB5F72" w14:textId="77777777" w:rsidR="00FC0DA7" w:rsidRPr="00BB3193" w:rsidRDefault="00FC0DA7" w:rsidP="00AC6AAF">
            <w:pPr>
              <w:rPr>
                <w:sz w:val="24"/>
              </w:rPr>
            </w:pPr>
          </w:p>
          <w:p w14:paraId="5EB96810" w14:textId="77777777" w:rsidR="00FC0DA7" w:rsidRPr="00BB3193" w:rsidRDefault="00FC0DA7" w:rsidP="00AC6AAF">
            <w:pPr>
              <w:rPr>
                <w:sz w:val="24"/>
              </w:rPr>
            </w:pPr>
          </w:p>
          <w:p w14:paraId="5DBDA437" w14:textId="4D307C45" w:rsidR="00FC0DA7" w:rsidRPr="00BB3193" w:rsidRDefault="00C43CA0" w:rsidP="00AC6AAF">
            <w:r>
              <w:t>30/100</w:t>
            </w:r>
          </w:p>
        </w:tc>
      </w:tr>
      <w:tr w:rsidR="00C43CA0" w:rsidRPr="00BB3193" w14:paraId="31381BDE" w14:textId="77777777" w:rsidTr="00AC6AAF">
        <w:trPr>
          <w:trHeight w:val="782"/>
        </w:trPr>
        <w:tc>
          <w:tcPr>
            <w:tcW w:w="0" w:type="auto"/>
          </w:tcPr>
          <w:p w14:paraId="0AF4F6C7" w14:textId="37AA3B07" w:rsidR="00C43CA0" w:rsidRPr="00FC0DA7" w:rsidRDefault="00C43CA0" w:rsidP="00C43CA0">
            <w:pPr>
              <w:pStyle w:val="NoSpacing"/>
              <w:contextualSpacing/>
              <w:jc w:val="both"/>
              <w:rPr>
                <w:rFonts w:cstheme="minorHAnsi"/>
                <w:b/>
                <w:bCs/>
              </w:rPr>
            </w:pPr>
            <w:r>
              <w:rPr>
                <w:b/>
                <w:bCs/>
              </w:rPr>
              <w:t>3.</w:t>
            </w:r>
          </w:p>
        </w:tc>
        <w:tc>
          <w:tcPr>
            <w:tcW w:w="0" w:type="auto"/>
          </w:tcPr>
          <w:p w14:paraId="72ABE5DD" w14:textId="01DCA2B5" w:rsidR="00C43CA0" w:rsidRPr="00FC0DA7" w:rsidRDefault="00C43CA0" w:rsidP="00C43CA0">
            <w:r>
              <w:t>Respect de l’environnement</w:t>
            </w:r>
          </w:p>
        </w:tc>
        <w:tc>
          <w:tcPr>
            <w:tcW w:w="0" w:type="auto"/>
          </w:tcPr>
          <w:p w14:paraId="63F517FE" w14:textId="0E63A1D0" w:rsidR="00C43CA0" w:rsidRPr="00C43CA0" w:rsidRDefault="00C43CA0" w:rsidP="00C43CA0">
            <w:r>
              <w:t>i) Qualité et précision de l’efficacité énergétique du procédé d’impression</w:t>
            </w:r>
          </w:p>
          <w:p w14:paraId="4CA649D5" w14:textId="38ECE89B" w:rsidR="00C43CA0" w:rsidRPr="00C43CA0" w:rsidRDefault="00C43CA0" w:rsidP="00C43CA0">
            <w:r>
              <w:t xml:space="preserve">ii) Qualité et précision de la réduction des déchets lors du processus d’impression </w:t>
            </w:r>
          </w:p>
          <w:p w14:paraId="226B5310" w14:textId="01C6829F" w:rsidR="00C43CA0" w:rsidRPr="00C43CA0" w:rsidRDefault="00C43CA0" w:rsidP="00C43CA0">
            <w:r>
              <w:t>iii) Qualité et précision d’utilisation du papier respectueux de l’environnement</w:t>
            </w:r>
          </w:p>
          <w:p w14:paraId="479E4A9E" w14:textId="378DBD0B" w:rsidR="00C43CA0" w:rsidRPr="00FC0DA7" w:rsidRDefault="00C43CA0" w:rsidP="00C43CA0">
            <w:r>
              <w:t>iv) Qualité et précision des émissions causées par le transport lié à la livraison des produits finis</w:t>
            </w:r>
          </w:p>
        </w:tc>
        <w:tc>
          <w:tcPr>
            <w:tcW w:w="0" w:type="auto"/>
          </w:tcPr>
          <w:p w14:paraId="14BB1FB8" w14:textId="77777777" w:rsidR="00C43CA0" w:rsidRPr="00BB3193" w:rsidRDefault="00C43CA0" w:rsidP="00C43CA0">
            <w:pPr>
              <w:rPr>
                <w:sz w:val="24"/>
              </w:rPr>
            </w:pPr>
          </w:p>
          <w:p w14:paraId="69BC9934" w14:textId="77777777" w:rsidR="00C43CA0" w:rsidRPr="00BB3193" w:rsidRDefault="00C43CA0" w:rsidP="00C43CA0">
            <w:pPr>
              <w:rPr>
                <w:sz w:val="24"/>
              </w:rPr>
            </w:pPr>
          </w:p>
          <w:p w14:paraId="034E450C" w14:textId="77777777" w:rsidR="00C43CA0" w:rsidRPr="00BB3193" w:rsidRDefault="00C43CA0" w:rsidP="00C43CA0">
            <w:pPr>
              <w:rPr>
                <w:sz w:val="24"/>
              </w:rPr>
            </w:pPr>
          </w:p>
          <w:p w14:paraId="73EC6530" w14:textId="77777777" w:rsidR="00C43CA0" w:rsidRDefault="00C43CA0" w:rsidP="00C43CA0">
            <w:pPr>
              <w:rPr>
                <w:sz w:val="24"/>
              </w:rPr>
            </w:pPr>
          </w:p>
          <w:p w14:paraId="0337AEA6" w14:textId="77777777" w:rsidR="0029101A" w:rsidRPr="00BB3193" w:rsidRDefault="0029101A" w:rsidP="00C43CA0">
            <w:pPr>
              <w:rPr>
                <w:sz w:val="24"/>
              </w:rPr>
            </w:pPr>
          </w:p>
          <w:p w14:paraId="4EF2D9F3" w14:textId="77777777" w:rsidR="00C43CA0" w:rsidRPr="00BB3193" w:rsidRDefault="00C43CA0" w:rsidP="00C43CA0">
            <w:pPr>
              <w:rPr>
                <w:sz w:val="24"/>
              </w:rPr>
            </w:pPr>
          </w:p>
          <w:p w14:paraId="55A00E53" w14:textId="77777777" w:rsidR="00C43CA0" w:rsidRPr="00BB3193" w:rsidRDefault="00C43CA0" w:rsidP="00C43CA0">
            <w:pPr>
              <w:rPr>
                <w:sz w:val="24"/>
              </w:rPr>
            </w:pPr>
          </w:p>
          <w:p w14:paraId="1EA168A4" w14:textId="78527831" w:rsidR="00C43CA0" w:rsidRPr="00BB3193" w:rsidRDefault="00C43CA0" w:rsidP="00C43CA0">
            <w:pPr>
              <w:rPr>
                <w:sz w:val="24"/>
              </w:rPr>
            </w:pPr>
            <w:r>
              <w:t>30/100</w:t>
            </w:r>
          </w:p>
        </w:tc>
      </w:tr>
      <w:tr w:rsidR="00C43CA0" w:rsidRPr="00BB3193" w14:paraId="47E0DAC5" w14:textId="77777777" w:rsidTr="00AC6AAF">
        <w:tc>
          <w:tcPr>
            <w:tcW w:w="0" w:type="auto"/>
          </w:tcPr>
          <w:p w14:paraId="0BDA61B9" w14:textId="0357173B" w:rsidR="00C43CA0" w:rsidRPr="00FC0DA7" w:rsidRDefault="00C43CA0" w:rsidP="00C43CA0">
            <w:pPr>
              <w:pStyle w:val="NoSpacing"/>
              <w:contextualSpacing/>
              <w:jc w:val="both"/>
              <w:rPr>
                <w:rFonts w:cstheme="minorHAnsi"/>
                <w:b/>
                <w:bCs/>
              </w:rPr>
            </w:pPr>
            <w:r>
              <w:rPr>
                <w:b/>
                <w:bCs/>
              </w:rPr>
              <w:t>4.</w:t>
            </w:r>
          </w:p>
        </w:tc>
        <w:tc>
          <w:tcPr>
            <w:tcW w:w="0" w:type="auto"/>
          </w:tcPr>
          <w:p w14:paraId="680A610B" w14:textId="4821235F" w:rsidR="00C43CA0" w:rsidRPr="00FC0DA7" w:rsidRDefault="00C43CA0" w:rsidP="00C43CA0">
            <w:r>
              <w:t>Délais et conditions de livraison, Service</w:t>
            </w:r>
          </w:p>
          <w:p w14:paraId="53E3A8A2" w14:textId="7139CB38" w:rsidR="00C43CA0" w:rsidRPr="00FC0DA7" w:rsidRDefault="00C43CA0" w:rsidP="00C43CA0">
            <w:r>
              <w:t>à la clientèle</w:t>
            </w:r>
          </w:p>
        </w:tc>
        <w:tc>
          <w:tcPr>
            <w:tcW w:w="0" w:type="auto"/>
          </w:tcPr>
          <w:p w14:paraId="3F114555" w14:textId="77777777" w:rsidR="00C43CA0" w:rsidRPr="00FC0DA7" w:rsidRDefault="00C43CA0" w:rsidP="00C43CA0">
            <w:r>
              <w:t>i) Capacité à respecter les délais</w:t>
            </w:r>
          </w:p>
          <w:p w14:paraId="7D3B4667" w14:textId="79DD24B0" w:rsidR="00C43CA0" w:rsidRPr="00FC0DA7" w:rsidRDefault="00C43CA0" w:rsidP="00C43CA0">
            <w:r>
              <w:t>ii) Capacité de livraison en fonction de la commande spécifiée</w:t>
            </w:r>
          </w:p>
          <w:p w14:paraId="5FC9320E" w14:textId="43C4B0FC" w:rsidR="00C43CA0" w:rsidRPr="00FC0DA7" w:rsidRDefault="00C43CA0" w:rsidP="00C43CA0">
            <w:r>
              <w:t>iii) Disponibilité et capacité de fournir un service immédiat (flexibilité et temps de réponse)</w:t>
            </w:r>
          </w:p>
        </w:tc>
        <w:tc>
          <w:tcPr>
            <w:tcW w:w="0" w:type="auto"/>
          </w:tcPr>
          <w:p w14:paraId="001953B7" w14:textId="77777777" w:rsidR="00C43CA0" w:rsidRPr="00BB3193" w:rsidRDefault="00C43CA0" w:rsidP="00C43CA0">
            <w:pPr>
              <w:rPr>
                <w:sz w:val="24"/>
              </w:rPr>
            </w:pPr>
          </w:p>
          <w:p w14:paraId="66AD46E1" w14:textId="77777777" w:rsidR="00C43CA0" w:rsidRPr="00BB3193" w:rsidRDefault="00C43CA0" w:rsidP="00C43CA0">
            <w:pPr>
              <w:rPr>
                <w:sz w:val="24"/>
              </w:rPr>
            </w:pPr>
          </w:p>
          <w:p w14:paraId="44922FCF" w14:textId="59E73BE5" w:rsidR="00C43CA0" w:rsidRPr="00BB3193" w:rsidRDefault="00C43CA0" w:rsidP="00C43CA0">
            <w:r>
              <w:t>30/100</w:t>
            </w:r>
          </w:p>
        </w:tc>
      </w:tr>
      <w:tr w:rsidR="00C43CA0" w:rsidRPr="00BB3193" w14:paraId="6FCD6F2B" w14:textId="77777777" w:rsidTr="00FC0DA7">
        <w:tc>
          <w:tcPr>
            <w:tcW w:w="0" w:type="auto"/>
            <w:gridSpan w:val="3"/>
          </w:tcPr>
          <w:p w14:paraId="37B5482D" w14:textId="3CA746CD" w:rsidR="00C43CA0" w:rsidRPr="00BB3193" w:rsidRDefault="00C43CA0" w:rsidP="00C43CA0">
            <w:pPr>
              <w:pStyle w:val="NoSpacing"/>
              <w:contextualSpacing/>
              <w:jc w:val="both"/>
              <w:rPr>
                <w:rFonts w:cstheme="minorHAnsi"/>
                <w:b/>
                <w:bCs/>
              </w:rPr>
            </w:pPr>
            <w:r>
              <w:rPr>
                <w:b/>
              </w:rPr>
              <w:t>Total des points qualitatifs (PQ)</w:t>
            </w:r>
          </w:p>
        </w:tc>
        <w:tc>
          <w:tcPr>
            <w:tcW w:w="0" w:type="auto"/>
          </w:tcPr>
          <w:p w14:paraId="409EA4D7" w14:textId="0B60A75B" w:rsidR="00C43CA0" w:rsidRPr="00BB3193" w:rsidRDefault="00C43CA0" w:rsidP="00C43CA0">
            <w:pPr>
              <w:pStyle w:val="NoSpacing"/>
              <w:contextualSpacing/>
              <w:jc w:val="both"/>
              <w:rPr>
                <w:rFonts w:cstheme="minorHAnsi"/>
                <w:b/>
                <w:bCs/>
              </w:rPr>
            </w:pPr>
            <w:r>
              <w:rPr>
                <w:b/>
              </w:rPr>
              <w:t>100</w:t>
            </w:r>
          </w:p>
        </w:tc>
      </w:tr>
    </w:tbl>
    <w:p w14:paraId="7CE68CD2" w14:textId="77777777" w:rsidR="00FC0DA7" w:rsidRDefault="00FC0DA7" w:rsidP="00BB3193">
      <w:pPr>
        <w:jc w:val="both"/>
        <w:rPr>
          <w:rFonts w:cstheme="minorHAnsi"/>
          <w:lang w:val="en-GB"/>
        </w:rPr>
      </w:pPr>
      <w:bookmarkStart w:id="2" w:name="_GoBack"/>
      <w:bookmarkEnd w:id="2"/>
    </w:p>
    <w:p w14:paraId="7F143ADA" w14:textId="0D226E1A" w:rsidR="000D1D29" w:rsidRPr="00BB3193" w:rsidRDefault="000D1D29" w:rsidP="00BB3193">
      <w:pPr>
        <w:jc w:val="both"/>
        <w:rPr>
          <w:rFonts w:cstheme="minorHAnsi"/>
        </w:rPr>
      </w:pPr>
      <w:r>
        <w:t>Les soumissionnaires détailleront dans l’offre technique tous les points abordés dans les termes de référence, en gardant également à l’esprit les critères d’attribution indiqués ci-dessus, afin d’obtenir autant de points que possible au regard des critères d’attribution de la qualité. La simple répétition des exigences obligatoires énoncées dans les termes de référence, sans entrer dans les détails ou sans donner d’avantage dans l’offre technique, n’aboutira qu’à un score très faible.</w:t>
      </w:r>
    </w:p>
    <w:p w14:paraId="54F59BEF" w14:textId="13ADD937" w:rsidR="000D1D29" w:rsidRPr="00BB3193" w:rsidRDefault="000D1D29" w:rsidP="00BB3193">
      <w:pPr>
        <w:pStyle w:val="Heading2"/>
        <w:jc w:val="both"/>
        <w:rPr>
          <w:rFonts w:asciiTheme="minorHAnsi" w:hAnsiTheme="minorHAnsi" w:cstheme="minorHAnsi"/>
        </w:rPr>
      </w:pPr>
      <w:r>
        <w:rPr>
          <w:rFonts w:asciiTheme="minorHAnsi" w:hAnsiTheme="minorHAnsi"/>
        </w:rPr>
        <w:t xml:space="preserve"> Montant de l’offre</w:t>
      </w:r>
    </w:p>
    <w:p w14:paraId="62D71A9C" w14:textId="2C43E17E" w:rsidR="000D1D29" w:rsidRPr="00BB3193" w:rsidRDefault="000D1D29" w:rsidP="00BB3193">
      <w:pPr>
        <w:jc w:val="both"/>
        <w:rPr>
          <w:rFonts w:cstheme="minorHAnsi"/>
        </w:rPr>
      </w:pPr>
      <w:r>
        <w:t xml:space="preserve">Le formulaire d’Offre financière contient douze (12) cases de prix, que le soumissionnaire doit remplir avec une somme d’argent. </w:t>
      </w:r>
    </w:p>
    <w:p w14:paraId="27E0E4EB" w14:textId="77777777" w:rsidR="000D1D29" w:rsidRPr="00BB3193" w:rsidRDefault="000D1D29" w:rsidP="00BB3193">
      <w:pPr>
        <w:jc w:val="both"/>
        <w:rPr>
          <w:rFonts w:cstheme="minorHAnsi"/>
        </w:rPr>
      </w:pPr>
      <w:r>
        <w:t>Attention : Si une case de prix est laissée vide par le soumissionnaire, l’offre financière sera considérée comme non valide et sera éliminée de l’évaluation ultérieure.</w:t>
      </w:r>
    </w:p>
    <w:p w14:paraId="0E82C220" w14:textId="3199D61A" w:rsidR="000D1D29" w:rsidRPr="00BB3193" w:rsidRDefault="000D1D29" w:rsidP="00BB3193">
      <w:pPr>
        <w:jc w:val="both"/>
        <w:rPr>
          <w:rFonts w:cstheme="minorHAnsi"/>
        </w:rPr>
      </w:pPr>
      <w:r>
        <w:t>Aux fins de l’évaluation du prix, un « calcul du prix » sera utilisé, dans lequel les prix proposés dans le FORMULAIRE FINANCIER sont appliqués à la formule de prix indiquée ci-dessous.</w:t>
      </w:r>
    </w:p>
    <w:p w14:paraId="13B104B1" w14:textId="77777777" w:rsidR="00FC0DA7" w:rsidRPr="00FC0DA7" w:rsidRDefault="00FC0DA7" w:rsidP="00FC0DA7">
      <w:pPr>
        <w:jc w:val="both"/>
        <w:rPr>
          <w:rFonts w:cstheme="minorHAnsi"/>
        </w:rPr>
      </w:pPr>
      <w:r>
        <w:t>PB = As1k + As5k + Ag1k + Ag5k + B2k + B5k + C5 + C1k + Ds5 + Ds1k + Dg5 + Dg1k</w:t>
      </w:r>
    </w:p>
    <w:p w14:paraId="68EBDFEA" w14:textId="066570D4" w:rsidR="000D1D29" w:rsidRPr="00BB3193" w:rsidRDefault="000D1D29" w:rsidP="00BB3193">
      <w:pPr>
        <w:jc w:val="both"/>
        <w:rPr>
          <w:rFonts w:cstheme="minorHAnsi"/>
        </w:rPr>
      </w:pPr>
      <w:r>
        <w:t>PP = (PC / PB) x 100</w:t>
      </w:r>
    </w:p>
    <w:p w14:paraId="7EA7C9AE" w14:textId="77777777" w:rsidR="000D1D29" w:rsidRPr="00BB3193" w:rsidRDefault="000D1D29" w:rsidP="00BB3193">
      <w:pPr>
        <w:jc w:val="both"/>
        <w:rPr>
          <w:rFonts w:cstheme="minorHAnsi"/>
        </w:rPr>
      </w:pPr>
      <w:r>
        <w:t>Où :</w:t>
      </w:r>
    </w:p>
    <w:p w14:paraId="0E25821E" w14:textId="77777777" w:rsidR="000D1D29" w:rsidRPr="00BB3193" w:rsidRDefault="000D1D29" w:rsidP="00BB3193">
      <w:pPr>
        <w:jc w:val="both"/>
        <w:rPr>
          <w:rFonts w:cstheme="minorHAnsi"/>
        </w:rPr>
      </w:pPr>
      <w:r>
        <w:t>PP = Points de prix pondérés</w:t>
      </w:r>
    </w:p>
    <w:p w14:paraId="4FFD6734" w14:textId="77777777" w:rsidR="000D1D29" w:rsidRPr="00BB3193" w:rsidRDefault="000D1D29" w:rsidP="00BB3193">
      <w:pPr>
        <w:jc w:val="both"/>
        <w:rPr>
          <w:rFonts w:cstheme="minorHAnsi"/>
        </w:rPr>
      </w:pPr>
      <w:r>
        <w:t>PC =</w:t>
      </w:r>
      <w:r>
        <w:tab/>
        <w:t>Prix de l’offre la moins chère reçue</w:t>
      </w:r>
    </w:p>
    <w:p w14:paraId="476D1978" w14:textId="77777777" w:rsidR="000D1D29" w:rsidRPr="00BB3193" w:rsidRDefault="000D1D29" w:rsidP="00BB3193">
      <w:pPr>
        <w:jc w:val="both"/>
        <w:rPr>
          <w:rFonts w:cstheme="minorHAnsi"/>
        </w:rPr>
      </w:pPr>
      <w:r>
        <w:t>PB =</w:t>
      </w:r>
      <w:r>
        <w:tab/>
        <w:t>Prix de l’offre en cours d’évaluation</w:t>
      </w:r>
    </w:p>
    <w:p w14:paraId="5259BB7C" w14:textId="75B77CE8" w:rsidR="000D1D29" w:rsidRPr="00BB3193" w:rsidRDefault="000D1D29" w:rsidP="00BB3193">
      <w:pPr>
        <w:pStyle w:val="Heading2"/>
        <w:jc w:val="both"/>
        <w:rPr>
          <w:rFonts w:asciiTheme="minorHAnsi" w:hAnsiTheme="minorHAnsi" w:cstheme="minorHAnsi"/>
        </w:rPr>
      </w:pPr>
      <w:r>
        <w:rPr>
          <w:rFonts w:asciiTheme="minorHAnsi" w:hAnsiTheme="minorHAnsi"/>
        </w:rPr>
        <w:t>Attribution du contrat</w:t>
      </w:r>
    </w:p>
    <w:p w14:paraId="0C3FC157" w14:textId="77777777" w:rsidR="000D1D29" w:rsidRPr="00BB3193" w:rsidRDefault="000D1D29" w:rsidP="00BB3193">
      <w:pPr>
        <w:jc w:val="both"/>
        <w:rPr>
          <w:rFonts w:cstheme="minorHAnsi"/>
        </w:rPr>
      </w:pPr>
      <w:r>
        <w:t>Le contrat sera attribué à l’offre la plus intéressante (meilleur rapport qualité/prix) qui obtient le plus grand nombre de points après l’évaluation finale, sur la base du rapport entre les critères de qualité (70 %) et le prix (30 %). La formule suivante sera utilisée :</w:t>
      </w:r>
    </w:p>
    <w:p w14:paraId="04E8D2F8" w14:textId="2BAC1F0E" w:rsidR="000D1D29" w:rsidRPr="00BB3193" w:rsidRDefault="0076384E" w:rsidP="00BB3193">
      <w:pPr>
        <w:jc w:val="both"/>
        <w:rPr>
          <w:rFonts w:cstheme="minorHAnsi"/>
          <w:b/>
          <w:bCs/>
        </w:rPr>
      </w:pPr>
      <w:r>
        <w:rPr>
          <w:b/>
          <w:bCs/>
        </w:rPr>
        <w:t>TWP = (QP x 0,7) + (PP x 0,3)</w:t>
      </w:r>
    </w:p>
    <w:p w14:paraId="4C32FCC0" w14:textId="77777777" w:rsidR="000D1D29" w:rsidRPr="00BB3193" w:rsidRDefault="000D1D29" w:rsidP="00BB3193">
      <w:pPr>
        <w:jc w:val="both"/>
        <w:rPr>
          <w:rFonts w:cstheme="minorHAnsi"/>
        </w:rPr>
      </w:pPr>
      <w:r>
        <w:t>Où :</w:t>
      </w:r>
    </w:p>
    <w:p w14:paraId="21A2A088" w14:textId="1B5404E3" w:rsidR="000D1D29" w:rsidRPr="00BB3193" w:rsidRDefault="000D1D29" w:rsidP="00BB3193">
      <w:pPr>
        <w:jc w:val="both"/>
        <w:rPr>
          <w:rFonts w:cstheme="minorHAnsi"/>
        </w:rPr>
      </w:pPr>
      <w:r>
        <w:t xml:space="preserve"> QP =</w:t>
      </w:r>
      <w:r>
        <w:tab/>
        <w:t>Points qualitatifs</w:t>
      </w:r>
    </w:p>
    <w:p w14:paraId="76F5461D" w14:textId="77777777" w:rsidR="000D1D29" w:rsidRPr="00BB3193" w:rsidRDefault="000D1D29" w:rsidP="00BB3193">
      <w:pPr>
        <w:jc w:val="both"/>
        <w:rPr>
          <w:rFonts w:cstheme="minorHAnsi"/>
        </w:rPr>
      </w:pPr>
      <w:r>
        <w:t>PP = Points de prix pondérés</w:t>
      </w:r>
    </w:p>
    <w:p w14:paraId="3A8FB607" w14:textId="77777777" w:rsidR="000D1D29" w:rsidRPr="00BB3193" w:rsidRDefault="000D1D29" w:rsidP="00BB3193">
      <w:pPr>
        <w:jc w:val="both"/>
        <w:rPr>
          <w:rFonts w:cstheme="minorHAnsi"/>
        </w:rPr>
      </w:pPr>
      <w:r>
        <w:t>TWP =</w:t>
      </w:r>
      <w:r>
        <w:tab/>
        <w:t>Score total pondéré des points</w:t>
      </w:r>
    </w:p>
    <w:p w14:paraId="4947276D" w14:textId="5F1DE2A6" w:rsidR="000D1D29" w:rsidRPr="00BB3193" w:rsidRDefault="000D1D29" w:rsidP="00BB3193">
      <w:pPr>
        <w:jc w:val="both"/>
        <w:rPr>
          <w:rFonts w:cstheme="minorHAnsi"/>
        </w:rPr>
      </w:pPr>
      <w:r>
        <w:t>Dans le cas où l’adjudicataire n’est pas en mesure de signer le contrat pour une raison quelconque, l’autorité contractante se réserve le droit d’attribuer le marché à d’autres soumissionnaires selon l’ordre de classement établi à l’issue de la procédure d’évaluation.</w:t>
      </w:r>
    </w:p>
    <w:sectPr w:rsidR="000D1D29" w:rsidRPr="00BB3193" w:rsidSect="00B91238">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97166" w14:textId="77777777" w:rsidR="00C55847" w:rsidRDefault="00C55847" w:rsidP="002005AF">
      <w:pPr>
        <w:spacing w:after="0" w:line="240" w:lineRule="auto"/>
      </w:pPr>
      <w:r>
        <w:separator/>
      </w:r>
    </w:p>
  </w:endnote>
  <w:endnote w:type="continuationSeparator" w:id="0">
    <w:p w14:paraId="72AD9C83" w14:textId="77777777" w:rsidR="00C55847" w:rsidRDefault="00C55847" w:rsidP="0020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altName w:val="Arial"/>
    <w:panose1 w:val="020B0603030804020204"/>
    <w:charset w:val="00"/>
    <w:family w:val="swiss"/>
    <w:pitch w:val="variable"/>
    <w:sig w:usb0="00000000" w:usb1="D200FDFF" w:usb2="0004602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5CC96" w14:textId="77777777" w:rsidR="00C55847" w:rsidRDefault="00C55847" w:rsidP="002005AF">
      <w:pPr>
        <w:spacing w:after="0" w:line="240" w:lineRule="auto"/>
      </w:pPr>
      <w:r>
        <w:separator/>
      </w:r>
    </w:p>
  </w:footnote>
  <w:footnote w:type="continuationSeparator" w:id="0">
    <w:p w14:paraId="2692F2FD" w14:textId="77777777" w:rsidR="00C55847" w:rsidRDefault="00C55847" w:rsidP="00200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FA98E" w14:textId="36AB35DF" w:rsidR="00EA36CC" w:rsidRDefault="00EA36CC">
    <w:pPr>
      <w:pStyle w:val="Header"/>
    </w:pPr>
    <w:r>
      <w:rPr>
        <w:noProof/>
        <w:lang w:val="en-GB" w:eastAsia="en-GB"/>
      </w:rPr>
      <w:drawing>
        <wp:anchor distT="0" distB="0" distL="114300" distR="114300" simplePos="0" relativeHeight="251657216" behindDoc="0" locked="0" layoutInCell="1" allowOverlap="1" wp14:anchorId="2BB8B89E" wp14:editId="50E1E8CB">
          <wp:simplePos x="0" y="0"/>
          <wp:positionH relativeFrom="column">
            <wp:posOffset>-914400</wp:posOffset>
          </wp:positionH>
          <wp:positionV relativeFrom="paragraph">
            <wp:posOffset>-501650</wp:posOffset>
          </wp:positionV>
          <wp:extent cx="7670800" cy="1713865"/>
          <wp:effectExtent l="0" t="0" r="6350" b="635"/>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with-logos-letterhead (1).jpg"/>
                  <pic:cNvPicPr/>
                </pic:nvPicPr>
                <pic:blipFill>
                  <a:blip r:embed="rId1">
                    <a:extLst>
                      <a:ext uri="{28A0092B-C50C-407E-A947-70E740481C1C}">
                        <a14:useLocalDpi xmlns:a14="http://schemas.microsoft.com/office/drawing/2010/main" val="0"/>
                      </a:ext>
                    </a:extLst>
                  </a:blip>
                  <a:stretch>
                    <a:fillRect/>
                  </a:stretch>
                </pic:blipFill>
                <pic:spPr>
                  <a:xfrm>
                    <a:off x="0" y="0"/>
                    <a:ext cx="7670800" cy="171386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D32"/>
    <w:multiLevelType w:val="hybridMultilevel"/>
    <w:tmpl w:val="C3E4A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84478C"/>
    <w:multiLevelType w:val="multilevel"/>
    <w:tmpl w:val="559A90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B974199"/>
    <w:multiLevelType w:val="hybridMultilevel"/>
    <w:tmpl w:val="80E427C0"/>
    <w:lvl w:ilvl="0" w:tplc="C2DC057C">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408F"/>
    <w:rsid w:val="0003195B"/>
    <w:rsid w:val="00051941"/>
    <w:rsid w:val="000521F1"/>
    <w:rsid w:val="0006023C"/>
    <w:rsid w:val="00071445"/>
    <w:rsid w:val="000A0E3B"/>
    <w:rsid w:val="000A2807"/>
    <w:rsid w:val="000C5FC9"/>
    <w:rsid w:val="000D1D29"/>
    <w:rsid w:val="000E1338"/>
    <w:rsid w:val="0013700E"/>
    <w:rsid w:val="00143C10"/>
    <w:rsid w:val="00155264"/>
    <w:rsid w:val="001C77BA"/>
    <w:rsid w:val="001D055E"/>
    <w:rsid w:val="001E284C"/>
    <w:rsid w:val="002005AF"/>
    <w:rsid w:val="00210B89"/>
    <w:rsid w:val="00225AC3"/>
    <w:rsid w:val="00233D45"/>
    <w:rsid w:val="002372F4"/>
    <w:rsid w:val="0027148A"/>
    <w:rsid w:val="002773B2"/>
    <w:rsid w:val="0028665C"/>
    <w:rsid w:val="0029101A"/>
    <w:rsid w:val="002B42E8"/>
    <w:rsid w:val="0031748B"/>
    <w:rsid w:val="00332AD7"/>
    <w:rsid w:val="003E2CA9"/>
    <w:rsid w:val="003E7BA6"/>
    <w:rsid w:val="003F5D98"/>
    <w:rsid w:val="003F769C"/>
    <w:rsid w:val="00435747"/>
    <w:rsid w:val="0048752A"/>
    <w:rsid w:val="004A07F8"/>
    <w:rsid w:val="004A1FB4"/>
    <w:rsid w:val="004A60A4"/>
    <w:rsid w:val="004A63A5"/>
    <w:rsid w:val="004D01C2"/>
    <w:rsid w:val="004F60B8"/>
    <w:rsid w:val="00542C4A"/>
    <w:rsid w:val="00545712"/>
    <w:rsid w:val="00560156"/>
    <w:rsid w:val="00577D3D"/>
    <w:rsid w:val="005E2360"/>
    <w:rsid w:val="005F03C7"/>
    <w:rsid w:val="006025E5"/>
    <w:rsid w:val="006238B2"/>
    <w:rsid w:val="0063732C"/>
    <w:rsid w:val="00640EF4"/>
    <w:rsid w:val="00641FC0"/>
    <w:rsid w:val="00646A60"/>
    <w:rsid w:val="00654F8D"/>
    <w:rsid w:val="0066700F"/>
    <w:rsid w:val="00690B11"/>
    <w:rsid w:val="006B170A"/>
    <w:rsid w:val="006B2258"/>
    <w:rsid w:val="006C0917"/>
    <w:rsid w:val="006D3466"/>
    <w:rsid w:val="006F5DEA"/>
    <w:rsid w:val="007202F7"/>
    <w:rsid w:val="00742A68"/>
    <w:rsid w:val="0076384E"/>
    <w:rsid w:val="007878D3"/>
    <w:rsid w:val="007A2387"/>
    <w:rsid w:val="007A37BE"/>
    <w:rsid w:val="007B45EF"/>
    <w:rsid w:val="007D1806"/>
    <w:rsid w:val="007D3E91"/>
    <w:rsid w:val="007E3311"/>
    <w:rsid w:val="007E5EC3"/>
    <w:rsid w:val="00825499"/>
    <w:rsid w:val="00857829"/>
    <w:rsid w:val="008A21F0"/>
    <w:rsid w:val="008A589E"/>
    <w:rsid w:val="008F5FAC"/>
    <w:rsid w:val="00922A24"/>
    <w:rsid w:val="0094188B"/>
    <w:rsid w:val="009776B9"/>
    <w:rsid w:val="00984DCB"/>
    <w:rsid w:val="009A1B4C"/>
    <w:rsid w:val="009E02D4"/>
    <w:rsid w:val="00A04B80"/>
    <w:rsid w:val="00A06390"/>
    <w:rsid w:val="00A15265"/>
    <w:rsid w:val="00A35CA8"/>
    <w:rsid w:val="00A52997"/>
    <w:rsid w:val="00A624AC"/>
    <w:rsid w:val="00A87975"/>
    <w:rsid w:val="00A91495"/>
    <w:rsid w:val="00A976B3"/>
    <w:rsid w:val="00AC6AAF"/>
    <w:rsid w:val="00AD5857"/>
    <w:rsid w:val="00AD6046"/>
    <w:rsid w:val="00AF4FFE"/>
    <w:rsid w:val="00B2327F"/>
    <w:rsid w:val="00B74648"/>
    <w:rsid w:val="00B91238"/>
    <w:rsid w:val="00B9408F"/>
    <w:rsid w:val="00B94F7F"/>
    <w:rsid w:val="00B954EF"/>
    <w:rsid w:val="00B96DEB"/>
    <w:rsid w:val="00BA7E77"/>
    <w:rsid w:val="00BB2B29"/>
    <w:rsid w:val="00BB3193"/>
    <w:rsid w:val="00BC2433"/>
    <w:rsid w:val="00C174A4"/>
    <w:rsid w:val="00C225EA"/>
    <w:rsid w:val="00C31B3F"/>
    <w:rsid w:val="00C34AED"/>
    <w:rsid w:val="00C40BA9"/>
    <w:rsid w:val="00C410AF"/>
    <w:rsid w:val="00C43CA0"/>
    <w:rsid w:val="00C55847"/>
    <w:rsid w:val="00CB3761"/>
    <w:rsid w:val="00CF02F7"/>
    <w:rsid w:val="00D0077C"/>
    <w:rsid w:val="00D4255B"/>
    <w:rsid w:val="00D85C7C"/>
    <w:rsid w:val="00DE5F26"/>
    <w:rsid w:val="00DF106B"/>
    <w:rsid w:val="00E27905"/>
    <w:rsid w:val="00E60C44"/>
    <w:rsid w:val="00E82FDC"/>
    <w:rsid w:val="00EA36CC"/>
    <w:rsid w:val="00F071A4"/>
    <w:rsid w:val="00F1489A"/>
    <w:rsid w:val="00F31D2D"/>
    <w:rsid w:val="00F450ED"/>
    <w:rsid w:val="00F62324"/>
    <w:rsid w:val="00FA0830"/>
    <w:rsid w:val="00FA4C6D"/>
    <w:rsid w:val="00FC0DA7"/>
    <w:rsid w:val="00FD5A94"/>
    <w:rsid w:val="00FF260E"/>
    <w:rsid w:val="00FF27D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1FE86"/>
  <w15:docId w15:val="{BF44DACF-68A4-4984-A1B3-FFA9A49B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0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40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3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063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408F"/>
    <w:pPr>
      <w:ind w:left="720"/>
      <w:contextualSpacing/>
    </w:pPr>
  </w:style>
  <w:style w:type="character" w:customStyle="1" w:styleId="Heading1Char">
    <w:name w:val="Heading 1 Char"/>
    <w:basedOn w:val="DefaultParagraphFont"/>
    <w:link w:val="Heading1"/>
    <w:uiPriority w:val="9"/>
    <w:rsid w:val="00B940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408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0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5AF"/>
  </w:style>
  <w:style w:type="paragraph" w:styleId="Footer">
    <w:name w:val="footer"/>
    <w:basedOn w:val="Normal"/>
    <w:link w:val="FooterChar"/>
    <w:uiPriority w:val="99"/>
    <w:unhideWhenUsed/>
    <w:rsid w:val="00200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5AF"/>
  </w:style>
  <w:style w:type="paragraph" w:styleId="FootnoteText">
    <w:name w:val="footnote text"/>
    <w:aliases w:val="Geneva 9,Font: Geneva 9,Boston 10,f,single space,Footnote,otnote Text,fn,ft,Fotnotstext Char,ft Char,FOOTNOTES,ADB,single space1,footnote text1,FOOTNOTES1,fn1,ADB1,single space2,footnote text2,FOOTNOTES2,fn2,ADB2,single space3"/>
    <w:basedOn w:val="Normal"/>
    <w:link w:val="FootnoteTextChar"/>
    <w:semiHidden/>
    <w:unhideWhenUsed/>
    <w:rsid w:val="00A624AC"/>
    <w:pPr>
      <w:spacing w:after="0" w:line="240" w:lineRule="auto"/>
    </w:pPr>
    <w:rPr>
      <w:sz w:val="20"/>
      <w:szCs w:val="20"/>
    </w:rPr>
  </w:style>
  <w:style w:type="character" w:customStyle="1" w:styleId="FootnoteTextChar">
    <w:name w:val="Footnote Text Char"/>
    <w:aliases w:val="Geneva 9 Char,Font: Geneva 9 Char,Boston 10 Char,f Char,single space Char,Footnote Char,otnote Text Char,fn Char,ft Char1,Fotnotstext Char Char,ft Char Char,FOOTNOTES Char,ADB Char,single space1 Char,footnote text1 Char,fn1 Char"/>
    <w:basedOn w:val="DefaultParagraphFont"/>
    <w:link w:val="FootnoteText"/>
    <w:semiHidden/>
    <w:rsid w:val="00A624AC"/>
    <w:rPr>
      <w:sz w:val="20"/>
      <w:szCs w:val="20"/>
    </w:rPr>
  </w:style>
  <w:style w:type="character" w:styleId="FootnoteReference">
    <w:name w:val="footnote reference"/>
    <w:aliases w:val="16 Point,Superscript 6 Point,Superscript 6 Point + 11 pt"/>
    <w:basedOn w:val="DefaultParagraphFont"/>
    <w:semiHidden/>
    <w:unhideWhenUsed/>
    <w:rsid w:val="00A624AC"/>
    <w:rPr>
      <w:vertAlign w:val="superscript"/>
    </w:rPr>
  </w:style>
  <w:style w:type="character" w:styleId="Hyperlink">
    <w:name w:val="Hyperlink"/>
    <w:basedOn w:val="DefaultParagraphFont"/>
    <w:uiPriority w:val="99"/>
    <w:unhideWhenUsed/>
    <w:rsid w:val="00A624AC"/>
    <w:rPr>
      <w:color w:val="0000FF"/>
      <w:u w:val="single"/>
    </w:rPr>
  </w:style>
  <w:style w:type="character" w:customStyle="1" w:styleId="Heading3Char">
    <w:name w:val="Heading 3 Char"/>
    <w:basedOn w:val="DefaultParagraphFont"/>
    <w:link w:val="Heading3"/>
    <w:uiPriority w:val="9"/>
    <w:rsid w:val="00A06390"/>
    <w:rPr>
      <w:rFonts w:asciiTheme="majorHAnsi" w:eastAsiaTheme="majorEastAsia" w:hAnsiTheme="majorHAnsi" w:cstheme="majorBidi"/>
      <w:color w:val="1F3763" w:themeColor="accent1" w:themeShade="7F"/>
      <w:sz w:val="24"/>
      <w:szCs w:val="24"/>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rsid w:val="00A06390"/>
    <w:pPr>
      <w:widowControl w:val="0"/>
      <w:suppressAutoHyphens/>
      <w:spacing w:after="120" w:line="288" w:lineRule="auto"/>
      <w:jc w:val="both"/>
    </w:pPr>
    <w:rPr>
      <w:rFonts w:ascii="Arial" w:eastAsia="DejaVu Sans" w:hAnsi="Arial" w:cs="Tahoma"/>
      <w:kern w:val="18"/>
      <w:sz w:val="20"/>
      <w:szCs w:val="24"/>
      <w:lang w:eastAsia="en-GB"/>
    </w:rPr>
  </w:style>
  <w:style w:type="character" w:customStyle="1" w:styleId="BodyTextChar">
    <w:name w:val="Body Text Char"/>
    <w:basedOn w:val="DefaultParagraphFont"/>
    <w:uiPriority w:val="99"/>
    <w:semiHidden/>
    <w:rsid w:val="00A06390"/>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A06390"/>
    <w:rPr>
      <w:rFonts w:ascii="Arial" w:eastAsia="DejaVu Sans" w:hAnsi="Arial" w:cs="Tahoma"/>
      <w:kern w:val="18"/>
      <w:sz w:val="20"/>
      <w:szCs w:val="24"/>
      <w:lang w:val="fr-FR" w:eastAsia="en-GB"/>
    </w:rPr>
  </w:style>
  <w:style w:type="character" w:customStyle="1" w:styleId="Heading4Char">
    <w:name w:val="Heading 4 Char"/>
    <w:basedOn w:val="DefaultParagraphFont"/>
    <w:link w:val="Heading4"/>
    <w:uiPriority w:val="9"/>
    <w:semiHidden/>
    <w:rsid w:val="00A0639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AD6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46"/>
    <w:rPr>
      <w:rFonts w:ascii="Segoe UI" w:hAnsi="Segoe UI" w:cs="Segoe UI"/>
      <w:sz w:val="18"/>
      <w:szCs w:val="18"/>
    </w:rPr>
  </w:style>
  <w:style w:type="table" w:styleId="TableGrid">
    <w:name w:val="Table Grid"/>
    <w:basedOn w:val="TableNormal"/>
    <w:uiPriority w:val="39"/>
    <w:rsid w:val="00FA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5FAC"/>
    <w:rPr>
      <w:sz w:val="16"/>
      <w:szCs w:val="16"/>
    </w:rPr>
  </w:style>
  <w:style w:type="paragraph" w:styleId="CommentText">
    <w:name w:val="annotation text"/>
    <w:basedOn w:val="Normal"/>
    <w:link w:val="CommentTextChar"/>
    <w:uiPriority w:val="99"/>
    <w:semiHidden/>
    <w:unhideWhenUsed/>
    <w:rsid w:val="008F5FAC"/>
    <w:pPr>
      <w:widowControl w:val="0"/>
      <w:spacing w:after="0" w:line="240" w:lineRule="auto"/>
      <w:jc w:val="both"/>
    </w:pPr>
    <w:rPr>
      <w:rFonts w:ascii="Times New Roman" w:eastAsia="SimSun" w:hAnsi="Times New Roman" w:cs="Times New Roman"/>
      <w:kern w:val="2"/>
      <w:sz w:val="20"/>
      <w:szCs w:val="20"/>
      <w:lang w:eastAsia="zh-CN"/>
    </w:rPr>
  </w:style>
  <w:style w:type="character" w:customStyle="1" w:styleId="CommentTextChar">
    <w:name w:val="Comment Text Char"/>
    <w:basedOn w:val="DefaultParagraphFont"/>
    <w:link w:val="CommentText"/>
    <w:uiPriority w:val="99"/>
    <w:semiHidden/>
    <w:rsid w:val="008F5FAC"/>
    <w:rPr>
      <w:rFonts w:ascii="Times New Roman" w:eastAsia="SimSun" w:hAnsi="Times New Roman" w:cs="Times New Roman"/>
      <w:kern w:val="2"/>
      <w:sz w:val="20"/>
      <w:szCs w:val="20"/>
      <w:lang w:val="fr-FR" w:eastAsia="zh-CN"/>
    </w:rPr>
  </w:style>
  <w:style w:type="paragraph" w:styleId="NormalWeb">
    <w:name w:val="Normal (Web)"/>
    <w:basedOn w:val="Normal"/>
    <w:uiPriority w:val="99"/>
    <w:semiHidden/>
    <w:unhideWhenUsed/>
    <w:rsid w:val="008F5FA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435747"/>
    <w:pPr>
      <w:widowControl/>
      <w:spacing w:after="160"/>
      <w:jc w:val="left"/>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435747"/>
    <w:rPr>
      <w:rFonts w:ascii="Times New Roman" w:eastAsia="SimSun" w:hAnsi="Times New Roman" w:cs="Times New Roman"/>
      <w:b/>
      <w:bCs/>
      <w:kern w:val="2"/>
      <w:sz w:val="20"/>
      <w:szCs w:val="20"/>
      <w:lang w:val="fr-FR" w:eastAsia="zh-CN"/>
    </w:rPr>
  </w:style>
  <w:style w:type="paragraph" w:styleId="NoSpacing">
    <w:name w:val="No Spacing"/>
    <w:uiPriority w:val="1"/>
    <w:qFormat/>
    <w:rsid w:val="00E82FDC"/>
    <w:pPr>
      <w:spacing w:after="0" w:line="240" w:lineRule="auto"/>
    </w:pPr>
  </w:style>
  <w:style w:type="paragraph" w:customStyle="1" w:styleId="TableParagraph">
    <w:name w:val="Table Paragraph"/>
    <w:basedOn w:val="Normal"/>
    <w:uiPriority w:val="1"/>
    <w:qFormat/>
    <w:rsid w:val="000D1D29"/>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E218-BD6E-42C5-A95C-EAD7F4F8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4961</Characters>
  <Application>Microsoft Office Word</Application>
  <DocSecurity>0</DocSecurity>
  <Lines>150</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VAN DAMME</dc:creator>
  <cp:lastModifiedBy>Ailsa</cp:lastModifiedBy>
  <cp:revision>2</cp:revision>
  <dcterms:created xsi:type="dcterms:W3CDTF">2019-12-11T16:34:00Z</dcterms:created>
  <dcterms:modified xsi:type="dcterms:W3CDTF">2019-12-11T16:34:00Z</dcterms:modified>
</cp:coreProperties>
</file>