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3F597C55" w:rsidR="005D790E" w:rsidRDefault="005D790E" w:rsidP="006357FF">
      <w:pPr>
        <w:rPr>
          <w:rFonts w:ascii="Calibri" w:hAnsi="Calibri"/>
        </w:rPr>
      </w:pPr>
      <w:r>
        <w:rPr>
          <w:rFonts w:ascii="Calibri" w:hAnsi="Calibri"/>
        </w:rPr>
        <w:t>RFT: 202</w:t>
      </w:r>
      <w:r w:rsidR="00A92EBB">
        <w:rPr>
          <w:rFonts w:ascii="Calibri" w:hAnsi="Calibri"/>
        </w:rPr>
        <w:t>2</w:t>
      </w:r>
      <w:r>
        <w:rPr>
          <w:rFonts w:ascii="Calibri" w:hAnsi="Calibri"/>
        </w:rPr>
        <w:t>/0</w:t>
      </w:r>
      <w:r w:rsidR="0027728D">
        <w:rPr>
          <w:rFonts w:ascii="Calibri" w:hAnsi="Calibri"/>
        </w:rPr>
        <w:t>07</w:t>
      </w:r>
    </w:p>
    <w:p w14:paraId="1586D62E" w14:textId="20CD4BA2"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w:t>
      </w:r>
      <w:r w:rsidR="0027728D">
        <w:rPr>
          <w:rFonts w:ascii="Calibri" w:hAnsi="Calibri"/>
        </w:rPr>
        <w:t>4/9/1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66C07510" w:rsidR="005679D1" w:rsidRPr="0027728D" w:rsidRDefault="0027728D" w:rsidP="0027728D">
            <w:pPr>
              <w:rPr>
                <w:rFonts w:asciiTheme="minorHAnsi" w:hAnsiTheme="minorHAnsi" w:cstheme="minorHAnsi"/>
                <w:b/>
                <w:bCs/>
                <w:sz w:val="22"/>
                <w:szCs w:val="22"/>
              </w:rPr>
            </w:pPr>
            <w:r w:rsidRPr="0027728D">
              <w:rPr>
                <w:rFonts w:asciiTheme="minorHAnsi" w:hAnsiTheme="minorHAnsi" w:cstheme="minorHAnsi"/>
                <w:b/>
                <w:bCs/>
              </w:rPr>
              <w:t>Consultancy to analyse and identify Climate Resilience Innovative Solutions and implement the PCCC Virtual Innovative Exhibition</w:t>
            </w:r>
            <w:r>
              <w:rPr>
                <w:rFonts w:asciiTheme="minorHAnsi" w:hAnsiTheme="minorHAnsi" w:cstheme="minorHAnsi"/>
                <w:b/>
                <w:bCs/>
              </w:rPr>
              <w:t xml:space="preserve"> 2022</w:t>
            </w:r>
          </w:p>
        </w:tc>
      </w:tr>
    </w:tbl>
    <w:p w14:paraId="00D5A2ED" w14:textId="056392D7"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00D883C3" w14:textId="77777777" w:rsidR="00BB670F" w:rsidRDefault="00BB670F" w:rsidP="00BB670F">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Default="00742DAF"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3272B480" w14:textId="77777777" w:rsidR="00344FAC" w:rsidRPr="00344FAC" w:rsidRDefault="00344FAC" w:rsidP="00344FAC">
            <w:pPr>
              <w:spacing w:line="260" w:lineRule="exact"/>
              <w:jc w:val="both"/>
              <w:rPr>
                <w:rFonts w:asciiTheme="minorHAnsi" w:hAnsiTheme="minorHAnsi" w:cstheme="minorHAnsi"/>
                <w:szCs w:val="22"/>
              </w:rPr>
            </w:pPr>
            <w:r w:rsidRPr="00344FAC">
              <w:rPr>
                <w:rFonts w:asciiTheme="minorHAnsi" w:hAnsiTheme="minorHAnsi" w:cstheme="minorHAnsi"/>
                <w:szCs w:val="22"/>
              </w:rPr>
              <w:t>At least ten (10) years demonstrated experience and understanding of the Pacific context including regional, environmental and developmental issues. Demonstrated knowledge and understanding of the work of SPREP and its mandates, and the Council of Regional Organisations of the Pacific (CROP) architecture, interactions, mandates, policy and planning instruments. (25%)</w:t>
            </w:r>
          </w:p>
          <w:p w14:paraId="6AB4672C" w14:textId="5CABA0A8" w:rsidR="00742DAF" w:rsidRPr="00B54E9B" w:rsidRDefault="00742DAF" w:rsidP="00742DAF">
            <w:pPr>
              <w:rPr>
                <w:rFonts w:ascii="Calibri" w:hAnsi="Calibri" w:cs="Calibri"/>
              </w:rPr>
            </w:pPr>
          </w:p>
        </w:tc>
      </w:tr>
      <w:tr w:rsidR="00742DAF" w:rsidRPr="00150DE5" w14:paraId="63BAD6D2" w14:textId="77777777" w:rsidTr="00742DAF">
        <w:trPr>
          <w:cantSplit/>
        </w:trPr>
        <w:tc>
          <w:tcPr>
            <w:tcW w:w="10399" w:type="dxa"/>
            <w:gridSpan w:val="8"/>
            <w:shd w:val="clear" w:color="auto" w:fill="auto"/>
          </w:tcPr>
          <w:p w14:paraId="47C65588" w14:textId="77777777" w:rsidR="00742DAF" w:rsidRDefault="00742DAF" w:rsidP="00B93215">
            <w:pPr>
              <w:autoSpaceDE w:val="0"/>
              <w:autoSpaceDN w:val="0"/>
              <w:adjustRightInd w:val="0"/>
              <w:spacing w:after="120"/>
              <w:ind w:right="927"/>
              <w:jc w:val="both"/>
              <w:rPr>
                <w:rFonts w:ascii="Calibri" w:hAnsi="Calibri" w:cs="Calibri"/>
                <w:b/>
              </w:rPr>
            </w:pPr>
          </w:p>
          <w:p w14:paraId="45D050DC" w14:textId="39352B2E" w:rsidR="00742DAF" w:rsidRPr="008109DA" w:rsidRDefault="00742DAF" w:rsidP="00B93215">
            <w:pPr>
              <w:autoSpaceDE w:val="0"/>
              <w:autoSpaceDN w:val="0"/>
              <w:adjustRightInd w:val="0"/>
              <w:spacing w:after="120"/>
              <w:ind w:right="927"/>
              <w:jc w:val="both"/>
              <w:rPr>
                <w:rFonts w:ascii="Calibri" w:hAnsi="Calibri" w:cs="Calibri"/>
                <w:b/>
              </w:rPr>
            </w:pPr>
          </w:p>
        </w:tc>
      </w:tr>
      <w:tr w:rsidR="00742DAF" w:rsidRPr="00150DE5" w14:paraId="24180F84" w14:textId="77777777" w:rsidTr="00A82141">
        <w:trPr>
          <w:cantSplit/>
          <w:trHeight w:val="682"/>
        </w:trPr>
        <w:tc>
          <w:tcPr>
            <w:tcW w:w="10399" w:type="dxa"/>
            <w:gridSpan w:val="8"/>
            <w:shd w:val="clear" w:color="auto" w:fill="E6E6E6"/>
          </w:tcPr>
          <w:p w14:paraId="36C4C849" w14:textId="53D631E6" w:rsidR="00742DAF" w:rsidRPr="008109DA" w:rsidRDefault="00742DAF" w:rsidP="00B93215">
            <w:pPr>
              <w:jc w:val="both"/>
              <w:rPr>
                <w:rFonts w:ascii="Calibri" w:hAnsi="Calibri" w:cs="Calibri"/>
                <w:b/>
              </w:rPr>
            </w:pPr>
            <w:r w:rsidRPr="008109DA">
              <w:rPr>
                <w:rFonts w:ascii="Calibri" w:hAnsi="Calibri" w:cs="Calibri"/>
                <w:b/>
              </w:rPr>
              <w:t>CRITERIA 2:</w:t>
            </w:r>
          </w:p>
          <w:p w14:paraId="07144419" w14:textId="77777777" w:rsidR="00344FAC" w:rsidRPr="00344FAC" w:rsidRDefault="00344FAC" w:rsidP="00344FAC">
            <w:pPr>
              <w:spacing w:line="260" w:lineRule="exact"/>
              <w:jc w:val="both"/>
              <w:rPr>
                <w:rFonts w:asciiTheme="minorHAnsi" w:hAnsiTheme="minorHAnsi" w:cstheme="minorHAnsi"/>
                <w:szCs w:val="22"/>
              </w:rPr>
            </w:pPr>
            <w:r w:rsidRPr="00344FAC">
              <w:rPr>
                <w:rFonts w:asciiTheme="minorHAnsi" w:hAnsiTheme="minorHAnsi" w:cstheme="minorHAnsi"/>
                <w:szCs w:val="22"/>
              </w:rPr>
              <w:t>Demonstrated expertise and experience in organisational and thematic strategic planning, change management, education, gender and social inclusion, monitoring and evaluation and undertaking reviews of this nature. (20%)</w:t>
            </w:r>
          </w:p>
          <w:p w14:paraId="02B2E56C" w14:textId="4DA725F6" w:rsidR="00742DAF" w:rsidRPr="00B54E9B" w:rsidRDefault="00742DAF" w:rsidP="00742DAF">
            <w:pPr>
              <w:rPr>
                <w:rFonts w:ascii="Calibri" w:hAnsi="Calibri" w:cs="Calibri"/>
              </w:rPr>
            </w:pPr>
            <w:r w:rsidRPr="001A116F">
              <w:rPr>
                <w:rFonts w:ascii="Calibri" w:hAnsi="Calibri" w:cs="Calibri"/>
                <w:bCs/>
              </w:rPr>
              <w:t xml:space="preserve"> </w:t>
            </w:r>
          </w:p>
        </w:tc>
      </w:tr>
      <w:tr w:rsidR="00742DAF" w:rsidRPr="00150DE5" w14:paraId="3DB49126" w14:textId="77777777" w:rsidTr="00742DAF">
        <w:trPr>
          <w:cantSplit/>
          <w:trHeight w:val="682"/>
        </w:trPr>
        <w:tc>
          <w:tcPr>
            <w:tcW w:w="10399" w:type="dxa"/>
            <w:gridSpan w:val="8"/>
            <w:shd w:val="clear" w:color="auto" w:fill="auto"/>
          </w:tcPr>
          <w:p w14:paraId="2398D521" w14:textId="1ECC29BC" w:rsidR="00742DAF" w:rsidRDefault="00742DAF" w:rsidP="00B93215">
            <w:pPr>
              <w:jc w:val="both"/>
              <w:rPr>
                <w:rFonts w:ascii="Calibri" w:hAnsi="Calibri" w:cs="Calibri"/>
                <w:b/>
              </w:rPr>
            </w:pPr>
          </w:p>
          <w:p w14:paraId="73D06553" w14:textId="77777777" w:rsidR="00742DAF" w:rsidRDefault="00742DAF" w:rsidP="00B93215">
            <w:pPr>
              <w:jc w:val="both"/>
              <w:rPr>
                <w:rFonts w:ascii="Calibri" w:hAnsi="Calibri" w:cs="Calibri"/>
                <w:b/>
              </w:rPr>
            </w:pPr>
          </w:p>
          <w:p w14:paraId="08659FEA" w14:textId="53314109" w:rsidR="00742DAF" w:rsidRPr="008109DA" w:rsidRDefault="00742DAF" w:rsidP="00B93215">
            <w:pPr>
              <w:jc w:val="both"/>
              <w:rPr>
                <w:rFonts w:ascii="Calibri" w:hAnsi="Calibri" w:cs="Calibri"/>
                <w:b/>
              </w:rPr>
            </w:pPr>
          </w:p>
        </w:tc>
      </w:tr>
      <w:tr w:rsidR="00742DAF" w:rsidRPr="00150DE5" w14:paraId="62248FA8" w14:textId="77777777" w:rsidTr="0070005C">
        <w:trPr>
          <w:cantSplit/>
        </w:trPr>
        <w:tc>
          <w:tcPr>
            <w:tcW w:w="10399" w:type="dxa"/>
            <w:gridSpan w:val="8"/>
            <w:shd w:val="clear" w:color="auto" w:fill="E6E6E6"/>
          </w:tcPr>
          <w:p w14:paraId="036335D8" w14:textId="77777777" w:rsidR="00742DAF" w:rsidRPr="008109DA" w:rsidRDefault="00742DAF" w:rsidP="00B93215">
            <w:pPr>
              <w:jc w:val="both"/>
              <w:rPr>
                <w:rFonts w:ascii="Calibri" w:hAnsi="Calibri" w:cs="Calibri"/>
                <w:b/>
              </w:rPr>
            </w:pPr>
            <w:r w:rsidRPr="008109DA">
              <w:rPr>
                <w:rFonts w:ascii="Calibri" w:hAnsi="Calibri" w:cs="Calibri"/>
                <w:b/>
              </w:rPr>
              <w:t>CRITERIA 3:</w:t>
            </w:r>
          </w:p>
          <w:p w14:paraId="4AA942F3" w14:textId="77777777" w:rsidR="00344FAC" w:rsidRPr="00344FAC" w:rsidRDefault="00344FAC" w:rsidP="00344FAC">
            <w:pPr>
              <w:spacing w:line="260" w:lineRule="exact"/>
              <w:jc w:val="both"/>
              <w:rPr>
                <w:rFonts w:asciiTheme="minorHAnsi" w:hAnsiTheme="minorHAnsi" w:cstheme="minorHAnsi"/>
                <w:szCs w:val="22"/>
              </w:rPr>
            </w:pPr>
            <w:r w:rsidRPr="00344FAC">
              <w:rPr>
                <w:rFonts w:asciiTheme="minorHAnsi" w:hAnsiTheme="minorHAnsi" w:cstheme="minorHAnsi"/>
                <w:szCs w:val="22"/>
              </w:rPr>
              <w:t>Excellent communications skills with high command of spoken and written English and including demonstrated experience engaging with national government agencies, using participatory and consultative approaches relevant to the Pacific. (15%)</w:t>
            </w:r>
          </w:p>
          <w:p w14:paraId="24AED4C0" w14:textId="77777777" w:rsidR="00742DAF" w:rsidRPr="00B54E9B" w:rsidRDefault="00742DAF" w:rsidP="00742DAF">
            <w:pPr>
              <w:rPr>
                <w:rFonts w:ascii="Calibri" w:hAnsi="Calibri" w:cs="Calibri"/>
              </w:rPr>
            </w:pPr>
          </w:p>
        </w:tc>
      </w:tr>
      <w:tr w:rsidR="00742DAF" w:rsidRPr="00150DE5" w14:paraId="7009F611" w14:textId="77777777" w:rsidTr="00742DAF">
        <w:trPr>
          <w:cantSplit/>
        </w:trPr>
        <w:tc>
          <w:tcPr>
            <w:tcW w:w="10399" w:type="dxa"/>
            <w:gridSpan w:val="8"/>
            <w:shd w:val="clear" w:color="auto" w:fill="auto"/>
          </w:tcPr>
          <w:p w14:paraId="5259EF94" w14:textId="42128670" w:rsidR="00742DAF" w:rsidRDefault="00742DAF" w:rsidP="00B93215">
            <w:pPr>
              <w:jc w:val="both"/>
              <w:rPr>
                <w:rFonts w:ascii="Calibri" w:hAnsi="Calibri" w:cs="Calibri"/>
                <w:b/>
              </w:rPr>
            </w:pPr>
          </w:p>
          <w:p w14:paraId="66EDE9C1" w14:textId="77777777" w:rsidR="00742DAF" w:rsidRDefault="00742DAF" w:rsidP="00B93215">
            <w:pPr>
              <w:jc w:val="both"/>
              <w:rPr>
                <w:rFonts w:ascii="Calibri" w:hAnsi="Calibri" w:cs="Calibri"/>
                <w:b/>
              </w:rPr>
            </w:pPr>
          </w:p>
          <w:p w14:paraId="5EC96A90" w14:textId="12B20441" w:rsidR="00742DAF" w:rsidRPr="008109DA" w:rsidRDefault="00742DAF" w:rsidP="00B93215">
            <w:pPr>
              <w:jc w:val="both"/>
              <w:rPr>
                <w:rFonts w:ascii="Calibri" w:hAnsi="Calibri" w:cs="Calibri"/>
                <w:b/>
              </w:rPr>
            </w:pPr>
          </w:p>
        </w:tc>
      </w:tr>
      <w:tr w:rsidR="00742DAF" w:rsidRPr="00150DE5" w14:paraId="6EBC6659" w14:textId="77777777" w:rsidTr="006E0C61">
        <w:trPr>
          <w:cantSplit/>
        </w:trPr>
        <w:tc>
          <w:tcPr>
            <w:tcW w:w="10399" w:type="dxa"/>
            <w:gridSpan w:val="8"/>
            <w:shd w:val="clear" w:color="auto" w:fill="E6E6E6"/>
          </w:tcPr>
          <w:p w14:paraId="0A45527C" w14:textId="77777777" w:rsidR="00742DAF" w:rsidRPr="008109DA" w:rsidRDefault="00742DAF" w:rsidP="00B54E9B">
            <w:pPr>
              <w:rPr>
                <w:rFonts w:ascii="Calibri" w:hAnsi="Calibri" w:cs="Calibri"/>
                <w:b/>
              </w:rPr>
            </w:pPr>
            <w:r w:rsidRPr="008109DA">
              <w:rPr>
                <w:rFonts w:ascii="Calibri" w:hAnsi="Calibri" w:cs="Calibri"/>
                <w:b/>
              </w:rPr>
              <w:t>CRITERIA 4:</w:t>
            </w:r>
          </w:p>
          <w:p w14:paraId="086C1AAF" w14:textId="77777777" w:rsidR="00344FAC" w:rsidRPr="00344FAC" w:rsidRDefault="00344FAC" w:rsidP="00344FAC">
            <w:pPr>
              <w:spacing w:line="260" w:lineRule="exact"/>
              <w:jc w:val="both"/>
              <w:rPr>
                <w:rFonts w:asciiTheme="minorHAnsi" w:hAnsiTheme="minorHAnsi" w:cstheme="minorHAnsi"/>
                <w:szCs w:val="22"/>
              </w:rPr>
            </w:pPr>
            <w:r w:rsidRPr="00344FAC">
              <w:rPr>
                <w:rFonts w:asciiTheme="minorHAnsi" w:hAnsiTheme="minorHAnsi" w:cstheme="minorHAnsi"/>
                <w:szCs w:val="22"/>
              </w:rPr>
              <w:t>Technical Proposal/Methodology of how the reviews will be conducted and implemented. (20%)</w:t>
            </w:r>
          </w:p>
          <w:p w14:paraId="3D6F37CC" w14:textId="2F705CD2" w:rsidR="00742DAF" w:rsidRPr="00742DAF" w:rsidRDefault="00742DAF" w:rsidP="00742DAF">
            <w:pPr>
              <w:autoSpaceDE w:val="0"/>
              <w:autoSpaceDN w:val="0"/>
              <w:adjustRightInd w:val="0"/>
              <w:ind w:right="927"/>
              <w:jc w:val="both"/>
              <w:rPr>
                <w:rFonts w:ascii="Calibri" w:hAnsi="Calibri" w:cs="Calibri"/>
                <w:bCs/>
              </w:rPr>
            </w:pPr>
          </w:p>
        </w:tc>
      </w:tr>
      <w:tr w:rsidR="00742DAF" w:rsidRPr="00150DE5" w14:paraId="6099896F" w14:textId="77777777" w:rsidTr="00742DAF">
        <w:trPr>
          <w:cantSplit/>
        </w:trPr>
        <w:tc>
          <w:tcPr>
            <w:tcW w:w="10399" w:type="dxa"/>
            <w:gridSpan w:val="8"/>
            <w:shd w:val="clear" w:color="auto" w:fill="auto"/>
          </w:tcPr>
          <w:p w14:paraId="4230DD5B" w14:textId="77777777" w:rsidR="00344FAC" w:rsidRDefault="00344FAC" w:rsidP="00344FAC">
            <w:pPr>
              <w:rPr>
                <w:rFonts w:ascii="Calibri" w:hAnsi="Calibri" w:cs="Calibri"/>
              </w:rPr>
            </w:pPr>
          </w:p>
          <w:p w14:paraId="67A8CC0A" w14:textId="77777777" w:rsidR="00344FAC" w:rsidRDefault="00344FAC" w:rsidP="00344FAC">
            <w:pPr>
              <w:rPr>
                <w:rFonts w:ascii="Calibri" w:hAnsi="Calibri" w:cs="Calibri"/>
              </w:rPr>
            </w:pPr>
            <w:r>
              <w:rPr>
                <w:rFonts w:ascii="Calibri" w:hAnsi="Calibri" w:cs="Calibri"/>
              </w:rPr>
              <w:t>*full details can be attached separately.</w:t>
            </w:r>
          </w:p>
          <w:p w14:paraId="12F452A0" w14:textId="77777777" w:rsidR="00742DAF" w:rsidRDefault="00742DAF" w:rsidP="00742DAF">
            <w:pPr>
              <w:rPr>
                <w:rFonts w:ascii="Calibri" w:hAnsi="Calibri" w:cs="Calibri"/>
                <w:b/>
              </w:rPr>
            </w:pPr>
          </w:p>
          <w:p w14:paraId="0A364FA1" w14:textId="3EDF2DFF" w:rsidR="00742DAF" w:rsidRPr="00742DAF" w:rsidRDefault="00742DAF" w:rsidP="00742DAF">
            <w:pPr>
              <w:rPr>
                <w:rFonts w:ascii="Calibri" w:hAnsi="Calibri" w:cs="Calibri"/>
                <w:b/>
              </w:rPr>
            </w:pPr>
          </w:p>
        </w:tc>
      </w:tr>
      <w:tr w:rsidR="00A92EBB" w:rsidRPr="00150DE5" w14:paraId="5178D5F7" w14:textId="77777777" w:rsidTr="00AB3897">
        <w:trPr>
          <w:cantSplit/>
        </w:trPr>
        <w:tc>
          <w:tcPr>
            <w:tcW w:w="10399" w:type="dxa"/>
            <w:gridSpan w:val="8"/>
            <w:shd w:val="clear" w:color="auto" w:fill="E7E6E6" w:themeFill="background2"/>
          </w:tcPr>
          <w:p w14:paraId="61618A60" w14:textId="4A9AA77E" w:rsidR="00A92EBB" w:rsidRPr="008109DA" w:rsidRDefault="00A92EBB" w:rsidP="00A92EBB">
            <w:pPr>
              <w:rPr>
                <w:rFonts w:ascii="Calibri" w:hAnsi="Calibri" w:cs="Calibri"/>
                <w:b/>
              </w:rPr>
            </w:pPr>
            <w:r w:rsidRPr="008109DA">
              <w:rPr>
                <w:rFonts w:ascii="Calibri" w:hAnsi="Calibri" w:cs="Calibri"/>
                <w:b/>
              </w:rPr>
              <w:t xml:space="preserve">CRITERIA </w:t>
            </w:r>
            <w:r w:rsidR="00344FAC">
              <w:rPr>
                <w:rFonts w:ascii="Calibri" w:hAnsi="Calibri" w:cs="Calibri"/>
                <w:b/>
              </w:rPr>
              <w:t>5</w:t>
            </w:r>
            <w:r w:rsidRPr="008109DA">
              <w:rPr>
                <w:rFonts w:ascii="Calibri" w:hAnsi="Calibri" w:cs="Calibri"/>
                <w:b/>
              </w:rPr>
              <w:t>:</w:t>
            </w:r>
          </w:p>
          <w:p w14:paraId="76065F4F" w14:textId="77777777" w:rsidR="00A92EBB" w:rsidRPr="00CC076C" w:rsidRDefault="00A92EBB" w:rsidP="00A92EBB">
            <w:pPr>
              <w:rPr>
                <w:rFonts w:ascii="Calibri" w:hAnsi="Calibri" w:cs="Calibri"/>
                <w:bCs/>
              </w:rPr>
            </w:pPr>
          </w:p>
          <w:p w14:paraId="41E4EDBE" w14:textId="56CD05D8" w:rsidR="00A92EBB" w:rsidRPr="00AB3897" w:rsidRDefault="00344FAC" w:rsidP="00AB3897">
            <w:pPr>
              <w:rPr>
                <w:rFonts w:ascii="Calibri" w:hAnsi="Calibri" w:cs="Calibri"/>
                <w:bCs/>
              </w:rPr>
            </w:pPr>
            <w:r w:rsidRPr="00771DEB">
              <w:rPr>
                <w:rFonts w:asciiTheme="minorHAnsi" w:hAnsiTheme="minorHAnsi" w:cstheme="minorHAnsi"/>
                <w:szCs w:val="22"/>
              </w:rPr>
              <w:t>Detailed Financial Proposal in US dollars. Clearly identify amounts for: person day rates and virtual or in-person workshops and consultations, communications, and incidentals</w:t>
            </w:r>
            <w:r>
              <w:rPr>
                <w:rFonts w:asciiTheme="minorHAnsi" w:hAnsiTheme="minorHAnsi" w:cstheme="minorHAnsi"/>
                <w:szCs w:val="22"/>
              </w:rPr>
              <w:t xml:space="preserve"> </w:t>
            </w:r>
            <w:r w:rsidR="00A92EBB" w:rsidRPr="00AB3897">
              <w:rPr>
                <w:rFonts w:ascii="Calibri" w:hAnsi="Calibri" w:cs="Calibri"/>
                <w:bCs/>
              </w:rPr>
              <w:t>(</w:t>
            </w:r>
            <w:r>
              <w:rPr>
                <w:rFonts w:ascii="Calibri" w:hAnsi="Calibri" w:cs="Calibri"/>
                <w:bCs/>
              </w:rPr>
              <w:t>20</w:t>
            </w:r>
            <w:r w:rsidR="00A92EBB" w:rsidRPr="00AB3897">
              <w:rPr>
                <w:rFonts w:ascii="Calibri" w:hAnsi="Calibri" w:cs="Calibri"/>
                <w:bCs/>
              </w:rPr>
              <w:t>%).</w:t>
            </w:r>
          </w:p>
          <w:p w14:paraId="6A762510" w14:textId="77777777" w:rsidR="00A92EBB" w:rsidRDefault="00A92EBB" w:rsidP="00A92EBB">
            <w:pPr>
              <w:rPr>
                <w:rFonts w:ascii="Calibri" w:hAnsi="Calibri" w:cs="Calibri"/>
                <w:b/>
              </w:rPr>
            </w:pPr>
          </w:p>
        </w:tc>
      </w:tr>
      <w:tr w:rsidR="00A92EBB" w:rsidRPr="00150DE5" w14:paraId="7C95888B" w14:textId="77777777" w:rsidTr="00742DAF">
        <w:trPr>
          <w:cantSplit/>
        </w:trPr>
        <w:tc>
          <w:tcPr>
            <w:tcW w:w="10399" w:type="dxa"/>
            <w:gridSpan w:val="8"/>
            <w:shd w:val="clear" w:color="auto" w:fill="auto"/>
          </w:tcPr>
          <w:p w14:paraId="4C5084D7" w14:textId="77777777" w:rsidR="00A92EBB" w:rsidRDefault="00A92EBB" w:rsidP="00A92EBB">
            <w:pPr>
              <w:rPr>
                <w:rFonts w:ascii="Calibri" w:hAnsi="Calibri" w:cs="Calibri"/>
                <w:b/>
              </w:rPr>
            </w:pPr>
          </w:p>
          <w:p w14:paraId="0F5673FD" w14:textId="77777777" w:rsidR="00BB670F" w:rsidRDefault="00BB670F" w:rsidP="00BB670F">
            <w:pPr>
              <w:rPr>
                <w:rFonts w:ascii="Calibri" w:hAnsi="Calibri" w:cs="Calibri"/>
              </w:rPr>
            </w:pPr>
            <w:r>
              <w:rPr>
                <w:rFonts w:ascii="Calibri" w:hAnsi="Calibri" w:cs="Calibri"/>
              </w:rPr>
              <w:t>*full details can be attached separately.</w:t>
            </w:r>
          </w:p>
          <w:p w14:paraId="23B547F0" w14:textId="19361F03" w:rsidR="00A92EBB" w:rsidRDefault="00A92EBB" w:rsidP="00A92EBB">
            <w:pPr>
              <w:rPr>
                <w:rFonts w:ascii="Calibri" w:hAnsi="Calibri" w:cs="Calibri"/>
                <w:b/>
              </w:rPr>
            </w:pPr>
          </w:p>
        </w:tc>
      </w:tr>
      <w:tr w:rsidR="00A92EBB"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77777777" w:rsidR="00A92EBB" w:rsidRPr="00150DE5" w:rsidRDefault="00A92EBB" w:rsidP="00A92EBB">
            <w:pPr>
              <w:rPr>
                <w:rFonts w:ascii="Calibri" w:hAnsi="Calibri"/>
                <w:b/>
                <w:bCs/>
              </w:rPr>
            </w:pPr>
            <w:r w:rsidRPr="00150DE5">
              <w:rPr>
                <w:rFonts w:ascii="Calibri" w:hAnsi="Calibri"/>
                <w:b/>
                <w:bCs/>
              </w:rPr>
              <w:lastRenderedPageBreak/>
              <w:t>7.</w:t>
            </w:r>
          </w:p>
        </w:tc>
        <w:tc>
          <w:tcPr>
            <w:tcW w:w="9591" w:type="dxa"/>
            <w:gridSpan w:val="7"/>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21BF3">
        <w:trPr>
          <w:cantSplit/>
        </w:trPr>
        <w:tc>
          <w:tcPr>
            <w:tcW w:w="4644" w:type="dxa"/>
            <w:gridSpan w:val="3"/>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92EBB" w:rsidRPr="00150DE5" w:rsidRDefault="00A92EBB" w:rsidP="00A92EBB">
            <w:pPr>
              <w:rPr>
                <w:rFonts w:ascii="Calibri" w:hAnsi="Calibri" w:cs="Calibri"/>
              </w:rPr>
            </w:pPr>
          </w:p>
        </w:tc>
      </w:tr>
      <w:tr w:rsidR="00A92EBB" w:rsidRPr="00150DE5" w14:paraId="071846B9" w14:textId="77777777" w:rsidTr="00D21BF3">
        <w:trPr>
          <w:cantSplit/>
        </w:trPr>
        <w:tc>
          <w:tcPr>
            <w:tcW w:w="4644" w:type="dxa"/>
            <w:gridSpan w:val="3"/>
            <w:shd w:val="clear" w:color="auto" w:fill="E6E6E6"/>
          </w:tcPr>
          <w:p w14:paraId="4A1CBB0B" w14:textId="77777777" w:rsidR="0016206B" w:rsidRDefault="0016206B" w:rsidP="0016206B">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4FEDED2F" w:rsidR="00A92EBB" w:rsidRPr="00150DE5" w:rsidRDefault="0016206B" w:rsidP="0016206B">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A92EBB" w:rsidRPr="00150DE5" w:rsidRDefault="00A92EBB" w:rsidP="00A92EBB">
            <w:pPr>
              <w:rPr>
                <w:rFonts w:ascii="Calibri" w:hAnsi="Calibri" w:cs="Calibri"/>
              </w:rPr>
            </w:pPr>
          </w:p>
        </w:tc>
      </w:tr>
      <w:tr w:rsidR="00A92EBB" w:rsidRPr="00150DE5" w14:paraId="41F15A4D" w14:textId="77777777" w:rsidTr="00D21BF3">
        <w:trPr>
          <w:cantSplit/>
        </w:trPr>
        <w:tc>
          <w:tcPr>
            <w:tcW w:w="4644" w:type="dxa"/>
            <w:gridSpan w:val="3"/>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92EBB" w:rsidRPr="00150DE5" w:rsidRDefault="00A92EBB" w:rsidP="00A92EBB">
            <w:pPr>
              <w:rPr>
                <w:rFonts w:ascii="Calibri" w:hAnsi="Calibri" w:cs="Calibri"/>
              </w:rPr>
            </w:pPr>
          </w:p>
        </w:tc>
      </w:tr>
      <w:tr w:rsidR="00A92EBB" w:rsidRPr="00150DE5" w14:paraId="40FAFC9E" w14:textId="77777777" w:rsidTr="00D21BF3">
        <w:trPr>
          <w:cantSplit/>
        </w:trPr>
        <w:tc>
          <w:tcPr>
            <w:tcW w:w="4644" w:type="dxa"/>
            <w:gridSpan w:val="3"/>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77777777" w:rsidR="00A92EBB" w:rsidRPr="00150DE5" w:rsidRDefault="00A92EBB" w:rsidP="00A92EBB">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8"/>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1743BDFD"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92EBB" w:rsidRPr="00150DE5" w:rsidRDefault="00A92EBB" w:rsidP="00A92EBB">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8"/>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92EBB" w:rsidRPr="00150DE5" w:rsidRDefault="00A92EBB" w:rsidP="00A92EBB">
            <w:pPr>
              <w:rPr>
                <w:rFonts w:ascii="Calibri" w:hAnsi="Calibri"/>
                <w:b/>
                <w:bCs/>
              </w:rPr>
            </w:pPr>
            <w:r w:rsidRPr="00150DE5">
              <w:rPr>
                <w:rFonts w:ascii="Calibri" w:hAnsi="Calibri"/>
                <w:b/>
                <w:bCs/>
              </w:rPr>
              <w:lastRenderedPageBreak/>
              <w:t>10.</w:t>
            </w:r>
          </w:p>
          <w:p w14:paraId="3FD498BF" w14:textId="77777777" w:rsidR="00A92EBB" w:rsidRPr="00150DE5" w:rsidRDefault="00A92EBB" w:rsidP="00A92EBB">
            <w:pPr>
              <w:rPr>
                <w:rFonts w:ascii="Calibri" w:hAnsi="Calibri"/>
              </w:rPr>
            </w:pPr>
          </w:p>
        </w:tc>
        <w:tc>
          <w:tcPr>
            <w:tcW w:w="9591" w:type="dxa"/>
            <w:gridSpan w:val="7"/>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8"/>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6"/>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6"/>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587C4AC1"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3/3</w:t>
      </w:r>
      <w:r w:rsidR="0027728D">
        <w:rPr>
          <w:rFonts w:ascii="Calibri" w:hAnsi="Calibri" w:cs="Calibri"/>
          <w:b/>
          <w:color w:val="000000"/>
          <w:sz w:val="22"/>
          <w:szCs w:val="22"/>
        </w:rPr>
        <w:t>4/9/1</w:t>
      </w:r>
      <w:r>
        <w:rPr>
          <w:rFonts w:ascii="Calibri" w:hAnsi="Calibri" w:cs="Calibri"/>
          <w:b/>
          <w:color w:val="000000"/>
          <w:sz w:val="22"/>
          <w:szCs w:val="22"/>
        </w:rPr>
        <w:t xml:space="preserve">- </w:t>
      </w:r>
      <w:r w:rsidR="0027728D" w:rsidRPr="0027728D">
        <w:rPr>
          <w:rFonts w:asciiTheme="minorHAnsi" w:hAnsiTheme="minorHAnsi" w:cstheme="minorHAnsi"/>
          <w:b/>
          <w:bCs/>
        </w:rPr>
        <w:t>Consultancy to analyse and identify Climate Resilience Innovative Solutions and implement the PCCC Virtual Innovative Exhibition</w:t>
      </w:r>
      <w:r w:rsidR="0027728D">
        <w:rPr>
          <w:rFonts w:asciiTheme="minorHAnsi" w:hAnsiTheme="minorHAnsi" w:cstheme="minorHAnsi"/>
          <w:b/>
          <w:bCs/>
        </w:rPr>
        <w:t xml:space="preserve"> 2022</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E69" w14:textId="77777777" w:rsidR="00100F2C" w:rsidRDefault="00100F2C">
      <w:r>
        <w:separator/>
      </w:r>
    </w:p>
  </w:endnote>
  <w:endnote w:type="continuationSeparator" w:id="0">
    <w:p w14:paraId="17885563" w14:textId="77777777" w:rsidR="00100F2C" w:rsidRDefault="001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2636" w14:textId="77777777" w:rsidR="00100F2C" w:rsidRDefault="00100F2C">
      <w:r>
        <w:separator/>
      </w:r>
    </w:p>
  </w:footnote>
  <w:footnote w:type="continuationSeparator" w:id="0">
    <w:p w14:paraId="6D1DD151" w14:textId="77777777" w:rsidR="00100F2C" w:rsidRDefault="001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DB44F4"/>
    <w:multiLevelType w:val="hybridMultilevel"/>
    <w:tmpl w:val="20085246"/>
    <w:lvl w:ilvl="0" w:tplc="5EA4453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500F05"/>
    <w:multiLevelType w:val="hybridMultilevel"/>
    <w:tmpl w:val="D14CE7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5"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1"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4"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2"/>
  </w:num>
  <w:num w:numId="2">
    <w:abstractNumId w:val="25"/>
  </w:num>
  <w:num w:numId="3">
    <w:abstractNumId w:val="9"/>
  </w:num>
  <w:num w:numId="4">
    <w:abstractNumId w:val="46"/>
  </w:num>
  <w:num w:numId="5">
    <w:abstractNumId w:val="40"/>
  </w:num>
  <w:num w:numId="6">
    <w:abstractNumId w:val="1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7"/>
  </w:num>
  <w:num w:numId="10">
    <w:abstractNumId w:val="28"/>
  </w:num>
  <w:num w:numId="11">
    <w:abstractNumId w:val="35"/>
  </w:num>
  <w:num w:numId="12">
    <w:abstractNumId w:val="23"/>
  </w:num>
  <w:num w:numId="13">
    <w:abstractNumId w:val="34"/>
  </w:num>
  <w:num w:numId="14">
    <w:abstractNumId w:val="49"/>
  </w:num>
  <w:num w:numId="15">
    <w:abstractNumId w:val="13"/>
  </w:num>
  <w:num w:numId="16">
    <w:abstractNumId w:val="48"/>
  </w:num>
  <w:num w:numId="17">
    <w:abstractNumId w:val="1"/>
  </w:num>
  <w:num w:numId="18">
    <w:abstractNumId w:val="26"/>
  </w:num>
  <w:num w:numId="19">
    <w:abstractNumId w:val="51"/>
  </w:num>
  <w:num w:numId="20">
    <w:abstractNumId w:val="14"/>
  </w:num>
  <w:num w:numId="21">
    <w:abstractNumId w:val="43"/>
  </w:num>
  <w:num w:numId="22">
    <w:abstractNumId w:val="37"/>
  </w:num>
  <w:num w:numId="23">
    <w:abstractNumId w:val="47"/>
  </w:num>
  <w:num w:numId="24">
    <w:abstractNumId w:val="8"/>
  </w:num>
  <w:num w:numId="25">
    <w:abstractNumId w:val="19"/>
  </w:num>
  <w:num w:numId="26">
    <w:abstractNumId w:val="29"/>
  </w:num>
  <w:num w:numId="27">
    <w:abstractNumId w:val="10"/>
  </w:num>
  <w:num w:numId="28">
    <w:abstractNumId w:val="0"/>
  </w:num>
  <w:num w:numId="29">
    <w:abstractNumId w:val="6"/>
  </w:num>
  <w:num w:numId="30">
    <w:abstractNumId w:val="16"/>
  </w:num>
  <w:num w:numId="31">
    <w:abstractNumId w:val="45"/>
  </w:num>
  <w:num w:numId="32">
    <w:abstractNumId w:val="7"/>
  </w:num>
  <w:num w:numId="33">
    <w:abstractNumId w:val="33"/>
  </w:num>
  <w:num w:numId="34">
    <w:abstractNumId w:val="2"/>
  </w:num>
  <w:num w:numId="35">
    <w:abstractNumId w:val="3"/>
  </w:num>
  <w:num w:numId="36">
    <w:abstractNumId w:val="18"/>
  </w:num>
  <w:num w:numId="37">
    <w:abstractNumId w:val="52"/>
  </w:num>
  <w:num w:numId="38">
    <w:abstractNumId w:val="24"/>
  </w:num>
  <w:num w:numId="39">
    <w:abstractNumId w:val="50"/>
  </w:num>
  <w:num w:numId="40">
    <w:abstractNumId w:val="30"/>
  </w:num>
  <w:num w:numId="41">
    <w:abstractNumId w:val="32"/>
  </w:num>
  <w:num w:numId="42">
    <w:abstractNumId w:val="4"/>
  </w:num>
  <w:num w:numId="43">
    <w:abstractNumId w:val="44"/>
  </w:num>
  <w:num w:numId="44">
    <w:abstractNumId w:val="38"/>
  </w:num>
  <w:num w:numId="45">
    <w:abstractNumId w:val="5"/>
  </w:num>
  <w:num w:numId="46">
    <w:abstractNumId w:val="21"/>
  </w:num>
  <w:num w:numId="47">
    <w:abstractNumId w:val="17"/>
  </w:num>
  <w:num w:numId="48">
    <w:abstractNumId w:val="12"/>
  </w:num>
  <w:num w:numId="49">
    <w:abstractNumId w:val="42"/>
  </w:num>
  <w:num w:numId="50">
    <w:abstractNumId w:val="36"/>
  </w:num>
  <w:num w:numId="51">
    <w:abstractNumId w:val="39"/>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764AD"/>
    <w:rsid w:val="00083665"/>
    <w:rsid w:val="00092D2E"/>
    <w:rsid w:val="00093BDB"/>
    <w:rsid w:val="00094DD7"/>
    <w:rsid w:val="00095BDF"/>
    <w:rsid w:val="000B3A3B"/>
    <w:rsid w:val="000C2B3A"/>
    <w:rsid w:val="000E033C"/>
    <w:rsid w:val="000E4080"/>
    <w:rsid w:val="000E5934"/>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7728D"/>
    <w:rsid w:val="00280124"/>
    <w:rsid w:val="002854CA"/>
    <w:rsid w:val="002A231B"/>
    <w:rsid w:val="002B2817"/>
    <w:rsid w:val="002B2B39"/>
    <w:rsid w:val="002C49B7"/>
    <w:rsid w:val="002C7F86"/>
    <w:rsid w:val="002E3858"/>
    <w:rsid w:val="002E620A"/>
    <w:rsid w:val="00300C8A"/>
    <w:rsid w:val="00321270"/>
    <w:rsid w:val="003245A7"/>
    <w:rsid w:val="00332373"/>
    <w:rsid w:val="00344FAC"/>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99"/>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212499523">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750</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4</cp:revision>
  <cp:lastPrinted>2021-03-17T21:42:00Z</cp:lastPrinted>
  <dcterms:created xsi:type="dcterms:W3CDTF">2022-03-07T01:05:00Z</dcterms:created>
  <dcterms:modified xsi:type="dcterms:W3CDTF">2022-03-07T03:35:00Z</dcterms:modified>
</cp:coreProperties>
</file>